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amg_pantheon (ares_pmf, hl_paf, kkr_kpec, stepstone_spm) (score 10/12)</w:t>
      </w:r>
    </w:p>
    <w:p>
      <w:r>
        <w:t>Window FY2022 to FY2026 (5 overlapping fiscal year(s) of 5 composite years): fund 11.14%/yr vs benchmark 15.21%/yr, KS-PME 0.8357, Direct Alpha -3.53%/yr.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2019-03-31 to 2026-03-31 (clipped: proxy series begins 2018-07-18, 3 fiscal year(s) outside it dropped): fund 13.3%/yr vs benchmark 6.02%/yr, KS-PME 1.5919, Direct Alpha 6.87%/yr.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differ, see notes): 30th percentile of cohort (n=5), below the median of 3.19 | repurchase cap: 50th percentile of cohort (n=5),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