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evergreen_pe without hl_paf (amg_pantheon, ares_pmf, kkr_kpec, stepstone_spm) (score 10/12)</w:t>
      </w:r>
    </w:p>
    <w:p>
      <w:r>
        <w:t>Window FY2022 to FY2026 (5 overlapping fiscal year(s) of 5 composite years): fund 15.31%/yr vs benchmark 13.78%/yr, KS-PME 1.0693, Direct Alpha 1.35%/yr.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(private_equity / evergreen_pe)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Listed private equity investable proxy (PSP) (score 9/12)</w:t>
      </w:r>
    </w:p>
    <w:p>
      <w:r>
        <w:t>Window 2021-03-31 to 2026-03-31: fund 15.31%/yr vs benchmark 0.83%/yr, KS-PME 1.9565, Direct Alpha 14.37%/yr.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evergreen pe)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fund-of-funds/secondaries in a tender-offer wrapper - founding cohort member.</w:t>
      </w:r>
    </w:p>
    <w:p>
      <w:r>
        <w:t>Cohort placement (evergreen_pe, R4 phrasing): mgmt fee: 50th percentile of cohort (n=5), at the median of 1.4 | expense ratio (bases differ, see notes): 70th percentile of cohort (n=5), above the median of 3.19 | repurchase cap: 50th percentile of cohort (n=5),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