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JLL Income Property Trust, Inc. (non-traded REIT ('34 Act reporting, perpetual NAV REIT), CIK 1314152)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no printed multi-year per-class return series exists in the FY2025 10-K. What IS printed: (a) FY2025 calendar-year net total returns 3.0%-3.8% range across classes, including ~$0.63/share cash distributions, les</w:t>
              <w:br/>
              <w:t>1.2: PARTIAL: primary class Class M-I (the performance-graph class, no servicing fee); basis: NAV-based net total return 'post leverage and fees', distributions included. Printed points: FY2025 all-classes calendar return ran</w:t>
              <w:br/>
              <w:t xml:space="preserve">1.3: PARTIAL: no gross-of-fees return series is printed; every printed return is net (performance graph caption: Class M-I 'post leverage and fees'; MD&amp;A returns 'less share class-specific fees'). Printed fee-drag components </w:t>
              <w:br/>
              <w:t>1.4: FY2025 gross dividends declared and paid $0.63/share ($0.1575/quarter); FY2024 declared $0.6175; FY2023 $0.58. Per-class amounts paid net of servicing fees, FY2025: Class A $0.53147, M $0.59543, A-I $0.59525, M-I $0.6300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 xml:space="preserve">2.1: RATE: 1.25% per annum, fixed. BASE: Company NAV, calculated DAILY (payable to Advisor LaSalle under the Advisory Agreement). Temporary waiver: from 2025-10-07 through 2026-12-31 only, Advisor waives 20% of the fixed fee </w:t>
              <w:br/>
              <w:t>2.2: Incentive terms EXIST: performance fee = 10% of the total return of each share class (or OP Unit class) in excess of 7% per annum, calculated separately per class per calendar year. Accrued when class total return per sh</w:t>
              <w:br/>
              <w:t>2.3: None exists structurally: '34 Act 10-K REIT wrapper - no 1940-Act fee table and no financial-highlights expense-ratio line ('expense ratio' = zero hits across stripped 10-K/10-Q/424B3, searched 2026-08-15). Printed fee s</w:t>
              <w:br/>
              <w:t xml:space="preserve">2.4: Not applicable - none exists: JLL IPT is a 10-K filer (non-'40-Act REIT) with no 1940-Act fee table; no 'Acquired Fund Fees and Expenses' line exists or can ('acquired fund' = zero hits in stripped 10-K, 10-Q and 424B3, 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CADENCE: DAILY - stockholders may request repurchase of all or part of their shares any day at that day's NAV per share (plan first announced 2011; contrast monthly/quarterly windows at BREIT/SREIT). CAP: 5% of the combi</w:t>
              <w:br/>
              <w:t>3.2: Price = NAV per share of the class on the DATE OF REPURCHASE (not purchase price, not prior-month NAV). Discretion: not obligated to repurchase; may honor some, all or none of requests; board may modify or suspend the pl</w:t>
              <w:br/>
              <w:t>3.3: UNBROKEN fulfillment record as disclosed: never deferred nor rejected a repurchase request through 2025-12-31 (10-K), and 100% honored in every later printed period (10-Q). Detail: Q4-2025 fulfilled 100% - 8,861,675 shar</w:t>
              <w:br/>
              <w:t>3.4: Underlying assets are illiquid direct real estate: 'The vast majority of our assets consist of properties that cannot generally be liquidated quickly.' Liquid resources printed: 2025-12-31 &gt;$103,000K total cash on hand +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DAILY - struck at the end of each day the NYSE is open; 'externally advised, daily valued perpetual life REIT' (the cohort's daily-NAV cadence contrast to BREIT/SREIT monthly). Calculation: performed by AL</w:t>
              <w:br/>
              <w:t xml:space="preserve">4.2: GAAP fair-value hierarchy appears only for specific items (real estate itself is at historical cost under GAAP; the daily NAV fair-value process is separate and 'not subject to GAAP or independent audit'). Printed Level </w:t>
              <w:br/>
              <w:t>4.3: Independent valuation advisor: SitusAMC Real Estate Valuation Services, LLC - selected by the Advisor, approved by the board including a majority of independent directors; founded 1931; NOT affiliated with the Company or</w:t>
              <w:br/>
              <w:t>4.4: By asset type (Item 5 valuation guidelines): wholly owned properties - quarterly independent appraisal, income approach (DCF) primary with sales-comparison and replacement-cost alternatives, free-and-clear basis excludin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benchmark EXISTS: NFI-ODCE (NCREIF Fund Index - Open-End Diversified Core Equity) - endorsed in the Item 5 performance graph comparing Class M-I (post leverage and fees) against the S&amp;P 500 and ODCE, $100 i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Maryland corporation (inc. 2004-05-28), externally advised daily-valued perpetual-life REIT (REIT-taxed since 2004). UPREIT: substantially all assets held through JLLIPT Holdings, LP (Delaware; the 'operating partnership</w:t>
              <w:br/>
              <w:t>6.2: Core diversified US direct real estate: 'well-located, well-leased properties within the healthcare, industrial, residential, retail and other sectors' plus, to a lesser degree, real-estate-related assets (mortgage loans</w:t>
              <w:br/>
              <w:t>6.3: Printed conflicts web (all-affiliate stack): (1) Advisor LaSalle is paid on NAV it is ultimately responsible for calculating (fee-on-NAV conflict, quoted); (2) class-level performance fee can reward the Advisor on one cl</w:t>
              <w:br/>
              <w:t>6.5: Advisor: LaSalle Investment Management, Inc. (wholly owned subsidiary of Sponsor JLL, NYSE: JLL). Dealer Manager (public offerings + DST Program): LaSalle Investment Management Distributors, LLC (Advisor affiliate). Dail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(score 9/12)</w:t>
      </w:r>
    </w:p>
    <w:p>
      <w:r>
        <w:t>Comparison not computable on held data: no computable fund return series on record: no multi-year per-class return series is printed: the FY2025 10-K gives net total return only as a 3.0% to 3.8% range across classes and an 8-quarter NAV path without distributions (cells 1.1 and 1.2). The candidate is scored on its own descriptors.</w:t>
      </w:r>
    </w:p>
    <w:p>
      <w:pPr>
        <w:pStyle w:val="ListBullet"/>
      </w:pPr>
      <w:r>
        <w:t>strategy_match 2/3: the public-market version of the asset class (listed reits for core nontraded re)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(Vanguard / MSCI US REIT)</w:t>
      </w:r>
    </w:p>
    <w:p>
      <w:pPr>
        <w:pStyle w:val="Heading2"/>
      </w:pPr>
      <w:r>
        <w:t>Secondary: NCREIF Fund Index - ODCE (private core RE) (score 7/12)</w:t>
      </w:r>
    </w:p>
    <w:p>
      <w:r>
        <w:t>Comparison not computable on held data: no computable fund return series on record: no multi-year per-class return series is printed: the FY2025 10-K gives net total return only as a 3.0% to 3.8% range across classes and an 8-quarter NAV path without distributions (cells 1.1 and 1.2). The candidate is scored on its own descriptors.</w:t>
      </w:r>
    </w:p>
    <w:p>
      <w:pPr>
        <w:pStyle w:val="ListBullet"/>
      </w:pPr>
      <w:r>
        <w:t>strategy_match 3/3: a private real estate index for a core nontraded re fund</w:t>
      </w:r>
    </w:p>
    <w:p>
      <w:pPr>
        <w:pStyle w:val="ListBullet"/>
      </w:pPr>
      <w:r>
        <w:t>risk_liquidity_match 2/3: NAV-class series, quarterly observations vs the fund's annual return data and an index, not a fund set, so leverage regime is not comparable</w:t>
      </w:r>
    </w:p>
    <w:p>
      <w:pPr>
        <w:pStyle w:val="ListBullet"/>
      </w:pPr>
      <w:r>
        <w:t>investability 0/2: index cited, series not held, not computable</w:t>
      </w:r>
    </w:p>
    <w:p>
      <w:pPr>
        <w:pStyle w:val="ListBullet"/>
      </w:pPr>
      <w:r>
        <w:t>data_quality 0/2: cited, not computed</w:t>
      </w:r>
    </w:p>
    <w:p>
      <w:pPr>
        <w:pStyle w:val="ListBullet"/>
      </w:pPr>
      <w:r>
        <w:t>provider_independence 2/2: provider unaffiliated with the fund (NCREIF)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7/12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 composite: nontraded_reit without jll_ipt (breit, sreit)</w:t>
            </w:r>
          </w:p>
        </w:tc>
        <w:tc>
          <w:tcPr>
            <w:tcW w:type="dxa" w:w="1152"/>
          </w:tcPr>
          <w:p>
            <w:r>
              <w:t>4/12</w:t>
            </w:r>
          </w:p>
        </w:tc>
        <w:tc>
          <w:tcPr>
            <w:tcW w:type="dxa" w:w="4752"/>
          </w:tcPr>
          <w:p>
            <w:r>
              <w:t>score 4/12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Non-traded NAV REITs (n=3). Membership rationale: Perpetual NAV REIT of older vintage in the same wrapper class. NAV cadence and scale differences disclosed.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above the cohort median of 2 (n=3, too small for percentile language).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4, extracted: 24, fetched: 1, n/a: 21, partial: 4.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