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2023-09-01 to 2025-12-31: fund 12.94%/yr vs benchmark 18.36%/yr, KS-PME 0.8964, Direct Alpha -4.58%/yr. Disclosure: PME and alpha computed on appraisal-lagged NAVs are window-sensitive and can be smoothing-flattered. Conclusions should be read with the methodology's window-sensitivity analysis. Low confidence: 2.33-year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pe conglomerate)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Secondary: Peer cohort composite: evergreen_pe without kkr_kpec (amg_pantheon, ares_pmf, hl_paf, stepstone_spm) (score 8/12)</w:t>
      </w:r>
    </w:p>
    <w:p>
      <w:r>
        <w:t>Window FY2024 to FY2025 (2 overlapping fiscal year(s) of 5 composite years): fund 13.95%/yr vs benchmark 13.61%/yr, KS-PME 1.0059, Direct Alpha 0.29%/yr. Disclosure: PME and alpha computed on appraisal-lagged NAVs are window-sensitive and can be smoothing-flattered. Conclusions should be read with the methodology's window-sensitivity analysis. Low confidence: 2-fiscal-year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same asset class, different sub-strategy (evergreen pe vs pe conglomerate)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0/2: annual composite with only 2 overlapping fiscal year(s), fewer than 3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businesses. Joins under the authorized fallback (its Reg D twins have no public filings).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(n=5),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