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5F"/>
          <w:sz w:val="44"/>
        </w:rPr>
        <w:t>TARK</w:t>
      </w:r>
    </w:p>
    <w:p>
      <w:pPr>
        <w:spacing w:after="40"/>
      </w:pPr>
      <w:r>
        <w:rPr>
          <w:b/>
          <w:i w:val="0"/>
          <w:color w:val="17232E"/>
          <w:sz w:val="28"/>
        </w:rPr>
        <w:t>Investor MVP Build Report</w:t>
      </w:r>
    </w:p>
    <w:p>
      <w:pPr>
        <w:spacing w:after="280"/>
      </w:pPr>
      <w:r>
        <w:rPr>
          <w:b w:val="0"/>
          <w:i w:val="0"/>
          <w:color w:val="6B7784"/>
          <w:sz w:val="18"/>
        </w:rPr>
        <w:t>2026-08-09  ·  repo oscargladysz-arch/fiduciary-demo  ·  main @ 403c2d3  ·  rollback tag: pre-investor-mvp</w:t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b w:val="0"/>
          <w:i w:val="0"/>
          <w:color w:val="17232E"/>
          <w:sz w:val="20"/>
        </w:rPr>
        <w:t>All five phases of the investor-MVP mission are complete and merged to main. Evidence coverage rose from 28% to 54% (all three hero products above 50%). Four real reference plans now drive a plan-parameterized liquidity engine whose verdicts and reasoning visibly change per plan. A new static interactive frontend replaces the plain Streamlit UI and is live on GitHub Pages, with the PME window-sensitivity explorer and liquidity scenario sliders recomputing live in the browser at exact numerical parity with the Python engine. Every commit passes a 7-step gate wall; anonymization is machine-enforced at build time, in the data bundle, and across all 240 rendered view combinations. The five invariants held throughout: no sponsor names anywhere, every number cited or labeled ILLUSTRATIVE, the verified boundary untouched (zero cells verified — that flip remains human-only), truthful audit strings, and gates never weakened.</w:t>
      </w:r>
    </w:p>
    <w:p>
      <w:pPr>
        <w:pStyle w:val="Heading1"/>
      </w:pPr>
      <w:r>
        <w:t>Coverage: before → after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00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100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864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4608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hl_paf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32%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+25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hero — target ≥50% met</w:t>
            </w:r>
          </w:p>
        </w:tc>
      </w:tr>
      <w:tr>
        <w:tc>
          <w:tcPr>
            <w:tcW w:type="dxa" w:w="2160"/>
            <w:shd w:val="clear" w:fill="F2F5F6"/>
          </w:tcPr>
          <w:p>
            <w:r/>
            <w:r>
              <w:rPr>
                <w:b/>
                <w:sz w:val="18"/>
              </w:rPr>
              <w:t>cliffwater_cclfx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36%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62%</w:t>
            </w:r>
          </w:p>
        </w:tc>
        <w:tc>
          <w:tcPr>
            <w:tcW w:type="dxa" w:w="864"/>
            <w:shd w:val="clear" w:fill="F2F5F6"/>
          </w:tcPr>
          <w:p>
            <w:r/>
            <w:r>
              <w:rPr>
                <w:sz w:val="18"/>
              </w:rPr>
              <w:t>+26</w:t>
            </w:r>
          </w:p>
        </w:tc>
        <w:tc>
          <w:tcPr>
            <w:tcW w:type="dxa" w:w="4608"/>
            <w:shd w:val="clear" w:fill="F2F5F6"/>
          </w:tcPr>
          <w:p>
            <w:r/>
            <w:r>
              <w:rPr>
                <w:sz w:val="18"/>
              </w:rPr>
              <w:t>hero — target ≥50% met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dxyz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24%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51%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+27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hero — target ≥50% met</w:t>
            </w:r>
          </w:p>
        </w:tc>
      </w:tr>
      <w:tr>
        <w:tc>
          <w:tcPr>
            <w:tcW w:type="dxa" w:w="2160"/>
            <w:shd w:val="clear" w:fill="F2F5F6"/>
          </w:tcPr>
          <w:p>
            <w:r/>
            <w:r>
              <w:rPr>
                <w:b/>
                <w:sz w:val="18"/>
              </w:rPr>
              <w:t>breit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26%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864"/>
            <w:shd w:val="clear" w:fill="F2F5F6"/>
          </w:tcPr>
          <w:p>
            <w:r/>
            <w:r>
              <w:rPr>
                <w:sz w:val="18"/>
              </w:rPr>
              <w:t>+24</w:t>
            </w:r>
          </w:p>
        </w:tc>
        <w:tc>
          <w:tcPr>
            <w:tcW w:type="dxa" w:w="4608"/>
            <w:shd w:val="clear" w:fill="F2F5F6"/>
          </w:tcPr>
          <w:p>
            <w:r/>
            <w:r>
              <w:rPr>
                <w:sz w:val="18"/>
              </w:rPr>
              <w:t>floor ≥30% cleared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stepstone_spm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+25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floor ≥30% cleared</w:t>
            </w:r>
          </w:p>
        </w:tc>
      </w:tr>
      <w:tr>
        <w:tc>
          <w:tcPr>
            <w:tcW w:type="dxa" w:w="2160"/>
            <w:shd w:val="clear" w:fill="F2F5F6"/>
          </w:tcPr>
          <w:p>
            <w:r/>
            <w:r>
              <w:rPr>
                <w:b/>
                <w:sz w:val="18"/>
              </w:rPr>
              <w:t>kkr_kpec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22%</w:t>
            </w:r>
          </w:p>
        </w:tc>
        <w:tc>
          <w:tcPr>
            <w:tcW w:type="dxa" w:w="1008"/>
            <w:shd w:val="clear" w:fill="F2F5F6"/>
          </w:tcPr>
          <w:p>
            <w:r/>
            <w:r>
              <w:rPr>
                <w:sz w:val="18"/>
              </w:rPr>
              <w:t>48%</w:t>
            </w:r>
          </w:p>
        </w:tc>
        <w:tc>
          <w:tcPr>
            <w:tcW w:type="dxa" w:w="864"/>
            <w:shd w:val="clear" w:fill="F2F5F6"/>
          </w:tcPr>
          <w:p>
            <w:r/>
            <w:r>
              <w:rPr>
                <w:sz w:val="18"/>
              </w:rPr>
              <w:t>+26</w:t>
            </w:r>
          </w:p>
        </w:tc>
        <w:tc>
          <w:tcPr>
            <w:tcW w:type="dxa" w:w="4608"/>
            <w:shd w:val="clear" w:fill="F2F5F6"/>
          </w:tcPr>
          <w:p>
            <w:r/>
            <w:r>
              <w:rPr>
                <w:sz w:val="18"/>
              </w:rPr>
              <w:t>floor ≥30% cleared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28%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54%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+26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72 new cells, all quote-anchored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6B7784"/>
          <w:sz w:val="18"/>
        </w:rPr>
        <w:t>Each new cell was drafted by an extractor agent, adversarially verified by an independent second agent (10 substantive corrections), then mechanically quote-checked against the stripped filing text before entering the record. Statuses are extracted-unverified or partial — never verified, which remains reserved for the human (CF2) pass in data/evidence/*.csv.</w:t>
      </w:r>
    </w:p>
    <w:p>
      <w:pPr>
        <w:pStyle w:val="Heading1"/>
      </w:pPr>
      <w:r>
        <w:t>Reference plans (DOL Form 5500 2024 bulk files; 52,962-plan screen)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32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3960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Display label (anonymized)</w:t>
            </w:r>
          </w:p>
        </w:tc>
        <w:tc>
          <w:tcPr>
            <w:tcW w:type="dxa" w:w="3456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Archetype signature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8"/>
              </w:rPr>
              <w:t>plan_tech_media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US media/technology company 401(k) plan (~$570M, NY)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anchor plan, unchanged; rekeyed</w:t>
            </w:r>
          </w:p>
        </w:tc>
      </w:tr>
      <w:tr>
        <w:tc>
          <w:tcPr>
            <w:tcW w:type="dxa" w:w="2232"/>
            <w:shd w:val="clear" w:fill="F2F5F6"/>
          </w:tcPr>
          <w:p>
            <w:r/>
            <w:r>
              <w:rPr>
                <w:b/>
                <w:sz w:val="18"/>
              </w:rPr>
              <w:t>plan_restaurant_hourly</w:t>
            </w:r>
          </w:p>
        </w:tc>
        <w:tc>
          <w:tcPr>
            <w:tcW w:type="dxa" w:w="3960"/>
            <w:shd w:val="clear" w:fill="F2F5F6"/>
          </w:tcPr>
          <w:p>
            <w:r/>
            <w:r>
              <w:rPr>
                <w:sz w:val="18"/>
              </w:rPr>
              <w:t>US casual-dining restaurant group 401(k) plan (~$1.6B, FL)</w:t>
            </w:r>
          </w:p>
        </w:tc>
        <w:tc>
          <w:tcPr>
            <w:tcW w:type="dxa" w:w="3456"/>
            <w:shd w:val="clear" w:fill="F2F5F6"/>
          </w:tcPr>
          <w:p>
            <w:r/>
            <w:r>
              <w:rPr>
                <w:sz w:val="18"/>
              </w:rPr>
              <w:t>197,946 active vs 43,129 with balances; avg $36,754 — high turnover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8"/>
              </w:rPr>
              <w:t>plan_consulting_alumni</w:t>
            </w:r>
          </w:p>
        </w:tc>
        <w:tc>
          <w:tcPr>
            <w:tcW w:type="dxa" w:w="3960"/>
          </w:tcPr>
          <w:p>
            <w:r/>
            <w:r>
              <w:rPr>
                <w:sz w:val="18"/>
              </w:rPr>
              <w:t>Global management-consulting firm profit-sharing/401(k) plan (~$9.8B, NY)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58.2% tail; avg $281,694; PARTIALLY participant-directed (2H)</w:t>
            </w:r>
          </w:p>
        </w:tc>
      </w:tr>
      <w:tr>
        <w:tc>
          <w:tcPr>
            <w:tcW w:type="dxa" w:w="2232"/>
            <w:shd w:val="clear" w:fill="F2F5F6"/>
          </w:tcPr>
          <w:p>
            <w:r/>
            <w:r>
              <w:rPr>
                <w:b/>
                <w:sz w:val="18"/>
              </w:rPr>
              <w:t>plan_manufacturer_union</w:t>
            </w:r>
          </w:p>
        </w:tc>
        <w:tc>
          <w:tcPr>
            <w:tcW w:type="dxa" w:w="3960"/>
            <w:shd w:val="clear" w:fill="F2F5F6"/>
          </w:tcPr>
          <w:p>
            <w:r/>
            <w:r>
              <w:rPr>
                <w:sz w:val="18"/>
              </w:rPr>
              <w:t>US tire &amp; rubber manufacturer bargaining-unit 401(k) plan (~$790M, OH)</w:t>
            </w:r>
          </w:p>
        </w:tc>
        <w:tc>
          <w:tcPr>
            <w:tcW w:type="dxa" w:w="3456"/>
            <w:shd w:val="clear" w:fill="F2F5F6"/>
          </w:tcPr>
          <w:p>
            <w:r/>
            <w:r>
              <w:rPr>
                <w:sz w:val="18"/>
              </w:rPr>
              <w:t>669 retirees in pay status; avg $103,899 — the 'normal' plan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6B7784"/>
          <w:sz w:val="18"/>
        </w:rPr>
        <w:t>Real sponsor identities live only in identity_private blocks, which are stripped from the frontend bundle at build time; the build refuses to emit if any sponsor token would leak. The liquidity engine reads each plan's own filed characteristic codes: the consulting plan flips the structural reasoning (trustee-directed sleeve available) and trips the THIN HEADROOM flag (13.7% scenario demand vs 20% wrapper capacity).</w:t>
      </w:r>
    </w:p>
    <w:p>
      <w:pPr>
        <w:pStyle w:val="Heading1"/>
      </w:pPr>
      <w:r>
        <w:t>Stack decision</w:t>
      </w:r>
    </w:p>
    <w:p>
      <w:pPr>
        <w:spacing w:after="120"/>
      </w:pPr>
      <w:r>
        <w:rPr>
          <w:b/>
          <w:i w:val="0"/>
          <w:color w:val="17232E"/>
          <w:sz w:val="20"/>
        </w:rPr>
        <w:t>Static single-page application — hand-written HTML/CSS/ES-module JavaScript with hand-rolled SVG charts and zero runtime dependencies — generated from the canonical data layer by src/build_site.py, tested with Playwright for Python, deployed from the gh-pages branch.</w:t>
      </w:r>
    </w:p>
    <w:p>
      <w:pPr>
        <w:spacing w:after="120"/>
      </w:pPr>
      <w:r>
        <w:rPr>
          <w:b w:val="0"/>
          <w:i w:val="0"/>
          <w:color w:val="17232E"/>
          <w:sz w:val="20"/>
        </w:rPr>
        <w:t>Rationale: the build machine has no node, npm, brew, or gh, and no hosting credentials beyond git push — a Next.js/FastAPI stack could neither compile nor deploy from here. A static bundle needs no server, no accounts, and no paid tier, and cannot go down mid-demo. The data layer remains the single source of truth: site/data.js is generated, never hand-edited, and no fact is hard-coded in frontend code. The interactivity a backend would have provided is delivered by porting exactly two function families to JavaScript (PME/Direct Alpha analytics and the liquidity scenario), each gated by the same toy cases as the Python suite — the browser reproduces the committed engine numbers to the fourth decimal (KS-PME 1.2519 / +3.21%/yr CCLFX; 1.9565 / +14.37%/yr hl_paf).</w:t>
      </w:r>
    </w:p>
    <w:p>
      <w:pPr>
        <w:pStyle w:val="Heading1"/>
      </w:pPr>
      <w:r>
        <w:t>Frontend surfaces (10 views)</w:t>
      </w:r>
    </w:p>
    <w:p>
      <w:pPr>
        <w:pStyle w:val="ListBullet"/>
        <w:spacing w:after="60"/>
      </w:pPr>
      <w:r>
        <w:rPr>
          <w:b/>
          <w:sz w:val="20"/>
        </w:rPr>
        <w:t xml:space="preserve">Reference Plans — </w:t>
      </w:r>
      <w:r>
        <w:rPr>
          <w:sz w:val="20"/>
        </w:rPr>
        <w:t>four plan cards, key stats, archetypes, plan picker</w:t>
      </w:r>
    </w:p>
    <w:p>
      <w:pPr>
        <w:pStyle w:val="ListBullet"/>
        <w:spacing w:after="60"/>
      </w:pPr>
      <w:r>
        <w:rPr>
          <w:b/>
          <w:sz w:val="20"/>
        </w:rPr>
        <w:t xml:space="preserve">Candidate Roster — </w:t>
      </w:r>
      <w:r>
        <w:rPr>
          <w:sz w:val="20"/>
        </w:rPr>
        <w:t>six products, wrapper badges, live coverage bars</w:t>
      </w:r>
    </w:p>
    <w:p>
      <w:pPr>
        <w:pStyle w:val="ListBullet"/>
        <w:spacing w:after="60"/>
      </w:pPr>
      <w:r>
        <w:rPr>
          <w:b/>
          <w:sz w:val="20"/>
        </w:rPr>
        <w:t xml:space="preserve">Six-Factor Evaluation — </w:t>
      </w:r>
      <w:r>
        <w:rPr>
          <w:sz w:val="20"/>
        </w:rPr>
        <w:t>all 54 cells, status chips (verified/unverified/computed distinction), one-click citation drawer with verbatim quotes</w:t>
      </w:r>
    </w:p>
    <w:p>
      <w:pPr>
        <w:pStyle w:val="ListBullet"/>
        <w:spacing w:after="60"/>
      </w:pPr>
      <w:r>
        <w:rPr>
          <w:b/>
          <w:sz w:val="20"/>
        </w:rPr>
        <w:t xml:space="preserve">Benchmark Selection — </w:t>
      </w:r>
      <w:r>
        <w:rPr>
          <w:sz w:val="20"/>
        </w:rPr>
        <w:t>primary/secondary with scores and rationale, PME/Direct Alpha, sortable rejection log with full rubric reasoning printed; DXYZ escalation designed loudly with a link into the premium decomposition</w:t>
      </w:r>
    </w:p>
    <w:p>
      <w:pPr>
        <w:pStyle w:val="ListBullet"/>
        <w:spacing w:after="60"/>
      </w:pPr>
      <w:r>
        <w:rPr>
          <w:b/>
          <w:sz w:val="20"/>
        </w:rPr>
        <w:t xml:space="preserve">Fee Matrix — </w:t>
      </w:r>
      <w:r>
        <w:rPr>
          <w:sz w:val="20"/>
        </w:rPr>
        <w:t>six products side-by-side; fee-base traps (Managed Assets / gross-assets-incl-borrowings) and the K-1 vs 1099 row flagged with chips derived from the cell text itself</w:t>
      </w:r>
    </w:p>
    <w:p>
      <w:pPr>
        <w:pStyle w:val="ListBullet"/>
        <w:spacing w:after="60"/>
      </w:pPr>
      <w:r>
        <w:rPr>
          <w:b/>
          <w:sz w:val="20"/>
        </w:rPr>
        <w:t xml:space="preserve">Liquidity Match — </w:t>
      </w:r>
      <w:r>
        <w:rPr>
          <w:sz w:val="20"/>
        </w:rPr>
        <w:t>verdict banners per plan × product, wrapper facts, scenario sliders (allocation, tail turnover, active turnover) recomputing live under a permanent ILLUSTRATIVE label</w:t>
      </w:r>
    </w:p>
    <w:p>
      <w:pPr>
        <w:pStyle w:val="ListBullet"/>
        <w:spacing w:after="60"/>
      </w:pPr>
      <w:r>
        <w:rPr>
          <w:b/>
          <w:sz w:val="20"/>
        </w:rPr>
        <w:t xml:space="preserve">PME Window Explorer — </w:t>
      </w:r>
      <w:r>
        <w:rPr>
          <w:sz w:val="20"/>
        </w:rPr>
        <w:t>the methodology's honesty made interactive: drag the window start and watch KS-PME/alpha move; honest caption always visible</w:t>
      </w:r>
    </w:p>
    <w:p>
      <w:pPr>
        <w:pStyle w:val="ListBullet"/>
        <w:spacing w:after="60"/>
      </w:pPr>
      <w:r>
        <w:rPr>
          <w:b/>
          <w:sz w:val="20"/>
        </w:rPr>
        <w:t xml:space="preserve">DXYZ Price vs NAV — </w:t>
      </w:r>
      <w:r>
        <w:rPr>
          <w:sz w:val="20"/>
        </w:rPr>
        <w:t>daily price line vs the fund's own quarterly NAV dots; peak $99.79, −90.3% drawdown, premium table as filed</w:t>
      </w:r>
    </w:p>
    <w:p>
      <w:pPr>
        <w:pStyle w:val="ListBullet"/>
        <w:spacing w:after="60"/>
      </w:pPr>
      <w:r>
        <w:rPr>
          <w:b/>
          <w:sz w:val="20"/>
        </w:rPr>
        <w:t xml:space="preserve">De-smoothing (CCLFX) — </w:t>
      </w:r>
      <w:r>
        <w:rPr>
          <w:sz w:val="20"/>
        </w:rPr>
        <w:t>observed vs Geltner-unsmoothed monthly series with ρ and both vols, recomputed in-browser</w:t>
      </w:r>
    </w:p>
    <w:p>
      <w:pPr>
        <w:pStyle w:val="ListBullet"/>
        <w:spacing w:after="60"/>
      </w:pPr>
      <w:r>
        <w:rPr>
          <w:b/>
          <w:sz w:val="20"/>
        </w:rPr>
        <w:t xml:space="preserve">Coverage &amp; Provenance — </w:t>
      </w:r>
      <w:r>
        <w:rPr>
          <w:sz w:val="20"/>
        </w:rPr>
        <w:t>coverage meters, verified/unverified counts, cross-check integrity stat (44 checked / 42 confirmed / 2 corrected / 0 unlocatable)</w:t>
      </w:r>
    </w:p>
    <w:p>
      <w:pPr>
        <w:pStyle w:val="Heading1"/>
      </w:pPr>
      <w:r>
        <w:t>Test inventory: old → new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Old assertion (src/test_app.py)</w:t>
            </w:r>
          </w:p>
        </w:tc>
        <w:tc>
          <w:tcPr>
            <w:tcW w:type="dxa" w:w="5184"/>
            <w:shd w:val="clear" w:fill="1F4E5F"/>
          </w:tcPr>
          <w:p>
            <w:r/>
            <w:r>
              <w:rPr>
                <w:b/>
                <w:color w:val="FFFFFF"/>
                <w:sz w:val="18"/>
              </w:rPr>
              <w:t>New home (src/test_frontend.py)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App boots clean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Page loads, zero pageerror events, content renders</w:t>
            </w:r>
          </w:p>
        </w:tc>
      </w:tr>
      <w:tr>
        <w:tc>
          <w:tcPr>
            <w:tcW w:type="dxa" w:w="4464"/>
            <w:shd w:val="clear" w:fill="F2F5F6"/>
          </w:tcPr>
          <w:p>
            <w:r/>
            <w:r>
              <w:rPr>
                <w:sz w:val="18"/>
              </w:rPr>
              <w:t>5 views × 6 products render</w:t>
            </w:r>
          </w:p>
        </w:tc>
        <w:tc>
          <w:tcPr>
            <w:tcW w:type="dxa" w:w="5184"/>
            <w:shd w:val="clear" w:fill="F2F5F6"/>
          </w:tcPr>
          <w:p>
            <w:r/>
            <w:r>
              <w:rPr>
                <w:sz w:val="18"/>
              </w:rPr>
              <w:t>10 views × 4 plans × 6 products = 240 combos render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Anonymization: 1 sponsor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4-sponsor sweep: data.js + all 240 rendered combos + build-time refusal gate in build_site.py</w:t>
            </w:r>
          </w:p>
        </w:tc>
      </w:tr>
      <w:tr>
        <w:tc>
          <w:tcPr>
            <w:tcW w:type="dxa" w:w="4464"/>
            <w:shd w:val="clear" w:fill="F2F5F6"/>
          </w:tcPr>
          <w:p>
            <w:r/>
            <w:r>
              <w:rPr>
                <w:sz w:val="18"/>
              </w:rPr>
              <w:t>Anchor economics ($565.8M / 110,515 / 1,847)</w:t>
            </w:r>
          </w:p>
        </w:tc>
        <w:tc>
          <w:tcPr>
            <w:tcW w:type="dxa" w:w="5184"/>
            <w:shd w:val="clear" w:fill="F2F5F6"/>
          </w:tcPr>
          <w:p>
            <w:r/>
            <w:r>
              <w:rPr>
                <w:sz w:val="18"/>
              </w:rPr>
              <w:t>Same numbers asserted on the Plans view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KS-PME 1.2519; CDLI in log; DXYZ escalation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Same, plus independence rationale visibly printed in the rejection log</w:t>
            </w:r>
          </w:p>
        </w:tc>
      </w:tr>
      <w:tr>
        <w:tc>
          <w:tcPr>
            <w:tcW w:type="dxa" w:w="4464"/>
            <w:shd w:val="clear" w:fill="F2F5F6"/>
          </w:tcPr>
          <w:p>
            <w:r/>
            <w:r>
              <w:rPr>
                <w:sz w:val="18"/>
              </w:rPr>
              <w:t>Managed Assets trap; 2%/5% caps</w:t>
            </w:r>
          </w:p>
        </w:tc>
        <w:tc>
          <w:tcPr>
            <w:tcW w:type="dxa" w:w="5184"/>
            <w:shd w:val="clear" w:fill="F2F5F6"/>
          </w:tcPr>
          <w:p>
            <w:r/>
            <w:r>
              <w:rPr>
                <w:sz w:val="18"/>
              </w:rPr>
              <w:t>Same, plus fee-matrix trap chips asserted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Verdicts + ILLUSTRATIVE labels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Same, ILLUSTRATIVE asserted on all 24 liquidity combos</w:t>
            </w:r>
          </w:p>
        </w:tc>
      </w:tr>
      <w:tr>
        <w:tc>
          <w:tcPr>
            <w:tcW w:type="dxa" w:w="4464"/>
            <w:shd w:val="clear" w:fill="F2F5F6"/>
          </w:tcPr>
          <w:p>
            <w:r/>
            <w:r>
              <w:rPr>
                <w:sz w:val="18"/>
              </w:rPr>
              <w:t>— (new)</w:t>
            </w:r>
          </w:p>
        </w:tc>
        <w:tc>
          <w:tcPr>
            <w:tcW w:type="dxa" w:w="5184"/>
            <w:shd w:val="clear" w:fill="F2F5F6"/>
          </w:tcPr>
          <w:p>
            <w:r/>
            <w:r>
              <w:rPr>
                <w:sz w:val="18"/>
              </w:rPr>
              <w:t>Slider recompute sanity (PME + liquidity change on drag)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— (new)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JS↔Python parity: every test_analytics toy case, all 24 bundled scenarios, committed PME numbers</w:t>
            </w:r>
          </w:p>
        </w:tc>
      </w:tr>
      <w:tr>
        <w:tc>
          <w:tcPr>
            <w:tcW w:type="dxa" w:w="4464"/>
            <w:shd w:val="clear" w:fill="F2F5F6"/>
          </w:tcPr>
          <w:p>
            <w:r/>
            <w:r>
              <w:rPr>
                <w:sz w:val="18"/>
              </w:rPr>
              <w:t>— (new)</w:t>
            </w:r>
          </w:p>
        </w:tc>
        <w:tc>
          <w:tcPr>
            <w:tcW w:type="dxa" w:w="5184"/>
            <w:shd w:val="clear" w:fill="F2F5F6"/>
          </w:tcPr>
          <w:p>
            <w:r/>
            <w:r>
              <w:rPr>
                <w:sz w:val="18"/>
              </w:rPr>
              <w:t>Citation drawer opens with quote; all 6 memo downloads served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6B7784"/>
          <w:sz w:val="18"/>
        </w:rPr>
        <w:t>All five pure-Python suites (validator, analytics, benchmark, memo, Streamlit app) still run unchanged; test_app.py was extended with the plan sweep and 4-sponsor list, never weakened.</w:t>
      </w:r>
    </w:p>
    <w:p>
      <w:pPr>
        <w:pStyle w:val="Heading1"/>
      </w:pPr>
      <w:r>
        <w:t>Pre-commit hook (live at .git/hooks/pre-commit; tracked copy at hooks/pre-commit)</w:t>
      </w:r>
    </w:p>
    <w:p>
      <w:pPr>
        <w:spacing w:after="200"/>
        <w:shd w:val="clear" w:fill="F2F5F6"/>
      </w:pPr>
      <w:r>
        <w:rPr>
          <w:rFonts w:ascii="Consolas" w:hAnsi="Consolas"/>
          <w:b w:val="0"/>
          <w:i w:val="0"/>
          <w:color w:val="17232E"/>
          <w:sz w:val="17"/>
        </w:rPr>
        <w:t>#!/bin/sh</w:t>
        <w:br/>
        <w:t># Tark gate — every commit must pass the FULL suite set. Never weaken.</w:t>
        <w:br/>
        <w:t># Install: cp hooks/pre-commit .git/hooks/pre-commit &amp;&amp; chmod +x .git/hooks/pre-commit</w:t>
        <w:br/>
        <w:t>source .venv/bin/activate 2&gt;/dev/null</w:t>
        <w:br/>
        <w:t>python src/validate_data.py &amp;&amp; \</w:t>
        <w:br/>
        <w:t>python src/test_analytics.py &amp;&amp; \</w:t>
        <w:br/>
        <w:t>python src/test_benchmark.py &amp;&amp; \</w:t>
        <w:br/>
        <w:t>python src/test_memo.py &amp;&amp; \</w:t>
        <w:br/>
        <w:t>python src/test_app.py &amp;&amp; \</w:t>
        <w:br/>
        <w:t>python src/build_site.py &amp;&amp; \</w:t>
        <w:br/>
        <w:t>python src/test_frontend.py</w:t>
      </w:r>
    </w:p>
    <w:p>
      <w:pPr>
        <w:pStyle w:val="Heading1"/>
      </w:pPr>
      <w:r>
        <w:t>Deploys</w:t>
      </w:r>
    </w:p>
    <w:p>
      <w:pPr>
        <w:pStyle w:val="ListBullet"/>
        <w:spacing w:after="60"/>
      </w:pPr>
      <w:r>
        <w:rPr>
          <w:b/>
          <w:sz w:val="20"/>
        </w:rPr>
        <w:t xml:space="preserve">New frontend (LIVE, verified): </w:t>
      </w:r>
      <w:r>
        <w:rPr>
          <w:sz w:val="20"/>
        </w:rPr>
        <w:t>https://oscargladysz-arch.github.io/fiduciary-demo/ — GitHub Pages from the gh-pages branch. Post-deploy smoke check passed: all 10 views render on the public URL, PME computes 1.2519 in production, deployed bundle passes the 4-sponsor anonymization sweep.</w:t>
      </w:r>
    </w:p>
    <w:p>
      <w:pPr>
        <w:pStyle w:val="ListBullet"/>
        <w:spacing w:after="60"/>
      </w:pPr>
      <w:r>
        <w:rPr>
          <w:b/>
          <w:sz w:val="20"/>
        </w:rPr>
        <w:t xml:space="preserve">Legacy Streamlit (kept until cutover proven): </w:t>
      </w:r>
      <w:r>
        <w:rPr>
          <w:sz w:val="20"/>
        </w:rPr>
        <w:t>existing Streamlit Cloud deploy, auto-redeploys from main — now includes the plan switcher. Retire after the new frontend survives one real investor meeting.</w:t>
      </w:r>
    </w:p>
    <w:p>
      <w:pPr>
        <w:pStyle w:val="ListBullet"/>
        <w:spacing w:after="60"/>
      </w:pPr>
      <w:r>
        <w:rPr>
          <w:b/>
          <w:sz w:val="20"/>
        </w:rPr>
        <w:t xml:space="preserve">Local fallback: </w:t>
      </w:r>
      <w:r>
        <w:rPr>
          <w:sz w:val="20"/>
        </w:rPr>
        <w:t>python src/build_site.py &amp;&amp; python -m http.server 8410 -d site</w:t>
      </w:r>
    </w:p>
    <w:p>
      <w:pPr>
        <w:spacing w:after="120"/>
      </w:pPr>
      <w:r>
        <w:rPr>
          <w:b w:val="0"/>
          <w:i w:val="0"/>
          <w:color w:val="6B7784"/>
          <w:sz w:val="18"/>
        </w:rPr>
        <w:t>Runbook: docs/INVESTOR_DEMO.md (URLs, reset steps, known rough edges, fallback plan). Demo flow: docs/demo_script.md (7 minutes, incl. the new window-sensitivity and same-fund-two-plans beats).</w:t>
      </w:r>
    </w:p>
    <w:p>
      <w:pPr>
        <w:pStyle w:val="Heading1"/>
      </w:pPr>
      <w:r>
        <w:t>Screenshots (docs/screenshots/)</w:t>
      </w:r>
    </w:p>
    <w:p>
      <w:pPr>
        <w:spacing w:after="120"/>
      </w:pPr>
      <w:r>
        <w:rPr>
          <w:b w:val="0"/>
          <w:i w:val="0"/>
          <w:color w:val="17232E"/>
          <w:sz w:val="19"/>
        </w:rPr>
        <w:t>01_reference_plans · 02_candidate_roster · 03_six_factor_hl_paf · 04_benchmark_cclfx_rejection_log · 05_benchmark_dxyz_escalation · 06_pme_window_explorer · 07_liquidity_thin_headroom · 08_fee_matrix · 09_dxyz_price_vs_nav · 10_desmoothing_cclfx</w:t>
      </w:r>
    </w:p>
    <w:p>
      <w:pPr>
        <w:pStyle w:val="Heading1"/>
      </w:pPr>
      <w:r>
        <w:t>Deferred items, with reasons</w:t>
      </w:r>
    </w:p>
    <w:p>
      <w:pPr>
        <w:pStyle w:val="ListBullet"/>
        <w:spacing w:after="60"/>
      </w:pPr>
      <w:r>
        <w:rPr>
          <w:b/>
          <w:sz w:val="20"/>
        </w:rPr>
        <w:t xml:space="preserve">GitHub Pages enablement — </w:t>
      </w:r>
      <w:r>
        <w:rPr>
          <w:sz w:val="20"/>
        </w:rPr>
        <w:t>RESOLVED: required the repo owner's one-click Settings toggle (done); deploy verified live afterward.</w:t>
      </w:r>
    </w:p>
    <w:p>
      <w:pPr>
        <w:pStyle w:val="ListBullet"/>
        <w:spacing w:after="60"/>
      </w:pPr>
      <w:r>
        <w:rPr>
          <w:b/>
          <w:sz w:val="20"/>
        </w:rPr>
        <w:t xml:space="preserve">kkr_kpec / breit benchmark selections — </w:t>
      </w:r>
      <w:r>
        <w:rPr>
          <w:sz w:val="20"/>
        </w:rPr>
        <w:t>no engine profiles existed pre-mission; building them is engine work, not evidence work. The UI states the gap honestly instead of faking a selection.</w:t>
      </w:r>
    </w:p>
    <w:p>
      <w:pPr>
        <w:pStyle w:val="ListBullet"/>
        <w:spacing w:after="60"/>
      </w:pPr>
      <w:r>
        <w:rPr>
          <w:b/>
          <w:sz w:val="20"/>
        </w:rPr>
        <w:t xml:space="preserve">dxyz NAV as data/series/dxyz_nav.csv — </w:t>
      </w:r>
      <w:r>
        <w:rPr>
          <w:sz w:val="20"/>
        </w:rPr>
        <w:t>the series contract requires daily ≥50-row files and the repo validator wins; the 9-row quarterly table lives at data/analytics/dxyz_nav_quarterly.json with full provenance instead.</w:t>
      </w:r>
    </w:p>
    <w:p>
      <w:pPr>
        <w:pStyle w:val="ListBullet"/>
        <w:spacing w:after="60"/>
      </w:pPr>
      <w:r>
        <w:rPr>
          <w:b/>
          <w:sz w:val="20"/>
        </w:rPr>
        <w:t xml:space="preserve">Chart tooltips and per-factor anchor links — </w:t>
      </w:r>
      <w:r>
        <w:rPr>
          <w:sz w:val="20"/>
        </w:rPr>
        <w:t>cosmetic; listed as known rough edges in the runbook.</w:t>
      </w:r>
    </w:p>
    <w:p>
      <w:pPr>
        <w:pStyle w:val="ListBullet"/>
        <w:spacing w:after="60"/>
      </w:pPr>
      <w:r>
        <w:rPr>
          <w:b/>
          <w:sz w:val="20"/>
        </w:rPr>
        <w:t xml:space="preserve">Zero cells verified — </w:t>
      </w:r>
      <w:r>
        <w:rPr>
          <w:sz w:val="20"/>
        </w:rPr>
        <w:t>by design: the verified flip is CF2's alone, and every surface says so.</w:t>
      </w:r>
    </w:p>
    <w:p>
      <w:pPr>
        <w:pStyle w:val="Heading1"/>
      </w:pPr>
      <w:r>
        <w:t>Build-chat sync</w:t>
      </w:r>
    </w:p>
    <w:p>
      <w:pPr>
        <w:spacing w:after="120"/>
      </w:pPr>
      <w:r>
        <w:rPr>
          <w:rFonts w:ascii="Consolas" w:hAnsi="Consolas"/>
          <w:b w:val="0"/>
          <w:i w:val="0"/>
          <w:color w:val="17232E"/>
          <w:sz w:val="19"/>
        </w:rPr>
        <w:t>Required before the build chat's next review: zip -r tark_repo_sync.zip . -x 'data/raw/*' -x '.venv/*' -x 'node_modules/*' -x '.git/*'  — upload to the build chat, which now serves as architect/reviewer.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3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23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