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AMG Pantheon Fund, LLC (tender-offer fund ('40 Act), evergreen PE, CIK 1609211)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NAV-based net total return series, fiscal years ended March 31, all five classes printed. Primary class (Class 4, zero distribution fee, inception 09/30/14 = Fund inception, used in the N-CSR performance graph): FY2026 9</w:t>
              <w:br/>
              <w:t>1.2: Average annual total returns as of 3/31/2026 (1yr / 5yr / 10yr / since inception, inception date): Class 4: 9.10% / 11.12% / 13.16% / 11.63% (09/30/14); Class 3: 8.88 / 10.84 / 12.87 / 12.50 (10/27/15); Class 2: 8.60 / 1</w:t>
              <w:br/>
              <w:t>1.3: PARTIAL: no gross-of-fees RETURN series is printed in any on-disk document - only net total returns. What IS printed is the gross-vs-net EXPENSE-ratio spread, a constant 0.70% for every class every year FY2024-FY2026 (FY</w:t>
              <w:br/>
              <w:t>1.4: Distributions declared/paid at least annually; identical per-unit across classes: FY2026 $0.63, FY2025 $0.25, FY2024 $0.17, FY2023 $0.41, FY2022 $0.72 - all from net realized gain on investments. Class 4 ten-year table a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>2.1: RATE: 0.70% annual. BASE: net assets as of the end of each month, determined before accrual of the fee being calculated and before purchases/repurchases/distributions. WHERE CHARGED: paid by the Master Fund AND by each S</w:t>
              <w:br/>
              <w:t>2.2: Documented absence at Fund/Master level: the N-2 fee tables for all five classes print only Management Fee, Distribution and/or Service Fee, Other Expenses, and Acquired Fund Fees and Expenses - no incentive or performan</w:t>
              <w:br/>
              <w:t>2.3: N-2 fee tables, Total Annual Expenses (as % of net assets attributable to Units): Class 1 3.13%, Class 2 2.88%, Class 3 2.63%, Class 4 2.38%, Class 5 3.38% - each = 0.70% management + 0.75/0.50/0.25/0.00/1.00% distributi</w:t>
              <w:br/>
              <w:t xml:space="preserve">2.4: AFFE 0.81% for every class (Class 1 table and Class 2-5 table identical). Reflects operating expenses of the Investment Funds (management fees, administration fees, professional and other direct fixed fees); excludes an 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>3.1: Wrapper liquidity: unlisted tender-offer fund; no unitholder redemption right - repurchases only via written tenders at times/amounts/terms set by the Board in its sole discretion. CADENCE: Adviser and Sponsor anticipate</w:t>
              <w:br/>
              <w:t>3.2: Mechanics per live offer (SC TO-I filed 2026-08-03): tenders due 11:59 p.m. ET 2026-08-28; purchase price = class NAV as of Valuation Date 2026-09-30 (approx. one month after expiration); payment in cash or a non-interes</w:t>
              <w:br/>
              <w:t>3.3: As disclosed (recorded 2026-08-15): live offer (launched 2026-08-03, expires 2026-08-28) for up to 11,957,272 Units, approx. 5% of the 239,145,444 Units outstanding at 5/31/2026. Completed-tender dollars from N-CSR capit</w:t>
              <w:br/>
              <w:t xml:space="preserve">3.4: Master Fund holdings attributes table at 3/31/2026: every private investment category 'Not Redeemable', redemption frequency/notice N/A, remaining lives up to 12 years. Fair value $6,079,798,952 across Buyout $4,982.9M, 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>4.1: NAV FREQUENCY: monthly - NAV of the Master Fund and each class calculated as of close of business on the last business day of each calendar month, plus any distribution date and other Board-determined times ('Determinati</w:t>
              <w:br/>
              <w:t>4.2: Master Fund consolidated hierarchy at 3/31/2026: Level 1 $581,361,401 (common stock $48.1M + short-term other-investment-companies $533.3M); Level 2 $0; Level 3 $325,527,462 (co-investments $315.9M + primary funds $9.7M)</w:t>
              <w:br/>
              <w:t xml:space="preserve">4.3: PARTIAL: no independent valuation agent is NAMED and no standing engagement is disclosed. Printed capability only: the Master Fund 'may utilize' independent valuation firms for third-party valuation consulting; N-2 adds </w:t>
              <w:br/>
              <w:t>4.4: By asset type (Master Fund Note 1a + L3 quantitative table at 3/31/2026): direct investments/certain co-investments - market or income approach (techniques printed: recent round of financing/option pricing model with ter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Self-declared comparison index in the annual report: MSCI World Index - used in both the cumulative-return graph (hypothetical $50,000,000 in Class 4 units vs the index) and the Average Annual Total Returns table (MSCI W</w:t>
              <w:br/>
              <w:t>5.3: Candidates evaluated incl. paid/manual indices and the real peer-cohort lane; full scoring + rejection ledger in the selection artifact.</w:t>
              <w:br/>
              <w:t>5.4: Peer cohort evergreen_pe (n=5: hl_paf, stepstone_spm, kkr_kpec, ares_pmf, amg_pantheon). Equal-weight annual composite on printed fiscal-year returns for years with 2 or more reporting members: 2022 (n=3), 2023 (n=5), 20</w:t>
              <w:br/>
              <w:t>5.5: PME inputs (computed): window 2016-03-31 to 2026-03-31; flows [-1, 3.4461]; index daily-anchored. KS-PME 2.4551, Direct Alpha 9.4%/yr.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>6.1: Master-feeder: AMG Pantheon Fund, LLC (Delaware LLC, closed-end non-diversified, perpetual term, five unit classes, CIK 1609211) is a feeder investing substantially all assets in AMG Pantheon Master Fund, LLC (affiliate;</w:t>
              <w:br/>
              <w:t>6.2: Evergreen private-equity vehicle, objective long-term capital appreciation; strategy mix at 3/31/2026 (Master SOI): secondaries $3,138.2M + co-investments $2,369.1M + primary funds $572.5M + common stock $48.1M + short-t</w:t>
              <w:br/>
              <w:t>6.3: Printed conflicts web: AMG (Affiliated Managers Group, Inc.) indirectly owns a majority of the Adviser (Pantheon); the Administrator (AMG Funds LLC, AMG's US wealth platform) and Distributor (AMG Distributors, Inc., whol</w:t>
              <w:br/>
              <w:t>6.4: Form 1099-DIV literally printed (Other Tax Information): investors receive Form 1099-DIV showing the tax status of distributions - no K-1. Fund qualifies as a regulated investment company under Subchapter M (tax year end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(score 9/12)</w:t>
      </w:r>
    </w:p>
    <w:p>
      <w:r>
        <w:t>Window 2019-03-31 to 2026-03-31 (clipped: proxy series begins 2018-07-18, 3 fiscal year(s) outside it dropped): fund 13.3%/yr vs benchmark 6.02%/yr, KS-PME 1.5919, Direct Alpha 6.87%/yr. Disclosure: PME and alpha computed on appraisal-lagged NAVs are window-sensitive and can be smoothing-flattered. Conclusions should be read with the methodology's window-sensitivity analysis.</w:t>
      </w:r>
    </w:p>
    <w:p>
      <w:r>
        <w:t>Two-point comparison: one contribution at the window start and one valuation at the end. Direct Alpha is the annualized form of the same two flows.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(score 8/12)</w:t>
      </w:r>
    </w:p>
    <w:p>
      <w:r>
        <w:t>Window 2019-03-31 to 2026-03-31 (clipped: proxy series begins 2018-07-18, 3 fiscal year(s) outside it dropped): fund 13.3%/yr vs benchmark 12.54%/yr, KS-PME 1.0483, Direct Alpha 0.68%/yr. Disclosure: PME and alpha computed on appraisal-lagged NAVs are window-sensitive and can be smoothing-flattered. Conclusions should be read with the methodology's window-sensitivity analysis.</w:t>
      </w:r>
    </w:p>
    <w:p>
      <w:r>
        <w:t>Two-point comparison: one contribution at the window start and one valuation at the end. Direct Alpha is the annualized form of the same two flows.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Evergreen private equity ('40-Act funds + '34-Act conglomerate) (n=5). Membership rationale: Evergreen PE (Pantheon) tender-offer LLC - wrapper and strategy twin of hl_paf/stepstone_spm.</w:t>
      </w:r>
    </w:p>
    <w:p>
      <w:r>
        <w:t>Cohort placement (evergreen_pe, R4 phrasing): mgmt fee: 10th percentile of cohort (n=5), below the median of 1.4 | expense ratio (bases differ, see notes): 30th percentile of cohort (n=5), below the median of 3.19 | repurchase cap: 50th percentile of cohort (n=4), at the median of 5. Stats and per-member values in data/cohorts/evergreen_pe.json, membership rationales in data/facts.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27, fetched: 1, n/a: 16, partial: 2.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