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(score 9/12)</w:t>
      </w:r>
    </w:p>
    <w:p>
      <w:r>
        <w:t>Window 2022-12-31 to 2025-12-31: fund 3.14%/yr vs benchmark 6.57%/yr, KS-PME 0.9064, Direct Alpha -3.22%/yr.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(score 8/12)</w:t>
      </w:r>
    </w:p>
    <w:p>
      <w:pPr>
        <w:pStyle w:val="ListBullet"/>
      </w:pPr>
      <w:r>
        <w:t>strategy_match 3/3: private open-end core RE funds, the strategy-exact yardstick.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Non-traded NAV REITs (n=3). Membership rationale: Non-traded monthly-NAV REIT with 2%/5% repurchase plan - the cohort's reference member.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below the cohort median of 3.5 (n=2, too small for percentile language).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20, fetched: 1, n/a: 14, partial: 7.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