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Designated Investment Alternative Evaluation: Decision Memo</w:t>
      </w:r>
    </w:p>
    <w:p>
      <w:r>
        <w:rPr>
          <w:b/>
        </w:rPr>
        <w:t>Plan: US media/technology company 401(k) plan (~$570M, New York)</w:t>
        <w:br/>
      </w:r>
      <w:r>
        <w:t>Product: Cliffwater Corporate Lending Fund (TRUE interval fund (Rule 23c-3), private credit, CIK 1735964)</w:t>
        <w:br/>
      </w:r>
      <w:r>
        <w:t>Date: 2026-09-04    Status: DRAFT (demo build). Cells marked extracted-unverified pend independent verification.</w:t>
      </w:r>
    </w:p>
    <w:p>
      <w:pPr>
        <w:pStyle w:val="Heading1"/>
      </w:pPr>
      <w:r>
        <w:t>Regulatory basis</w:t>
      </w:r>
    </w:p>
    <w:p>
      <w:r>
        <w:t>DOL proposed rule, Fiduciary Duties in Selecting Designated Investment Alternatives, 91 FR 16088 (Mar. 31, 2026), RIN 1210-AC38</w:t>
      </w:r>
    </w:p>
    <w:p>
      <w:r>
        <w:t>This memo documents an evaluation of the product below as a potential designated investment alternative (DIA) for the plan, structured on the six factors of the proposed rule: performance, fees and expenses, liquidity, valuation, performance benchmarks, and complexity. The proposed safe harbor attaches to a documented, objective, thorough and analytical process. This memo and its underlying evidence files constitute that record.</w:t>
      </w:r>
    </w:p>
    <w:p>
      <w:r>
        <w:t>On benchmarks, the proposal requires comparison against a meaningful benchmark and acknowledges that no single benchmark is meaningful for every DIA. Where none exists, the history of a similar type of investment may serve. The benchmark section below therefore documents the selection AND the rejections: every candidate considered, its score, and the true reason it was or was not chosen. Note: the pleading standard for benchmark-based claims is before the Supreme Court in Anderson v. Intel (argument expected October Term 2026). This memo's approach is designed to be defensible under either outcome.</w:t>
      </w:r>
    </w:p>
    <w:p>
      <w:pPr>
        <w:pStyle w:val="Heading1"/>
      </w:pPr>
      <w:r>
        <w:t>Six-factor findings (summary)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</w:tcPr>
          <w:p>
            <w:r>
              <w:t>Factor</w:t>
            </w:r>
          </w:p>
        </w:tc>
        <w:tc>
          <w:tcPr>
            <w:tcW w:type="dxa" w:w="7344"/>
          </w:tcPr>
          <w:p>
            <w:r>
              <w:t>Key findings (cell: value)</w:t>
            </w:r>
          </w:p>
        </w:tc>
      </w:tr>
      <w:tr>
        <w:tc>
          <w:tcPr>
            <w:tcW w:type="dxa" w:w="2016"/>
          </w:tcPr>
          <w:p>
            <w:r>
              <w:t>1. Performance</w:t>
            </w:r>
          </w:p>
        </w:tc>
        <w:tc>
          <w:tcPr>
            <w:tcW w:type="dxa" w:w="7344"/>
          </w:tcPr>
          <w:p>
            <w:r>
              <w:t>1.1: PARTIAL: NAV/share FY21-FY26: 10.60 / 10.79 / 10.67 / 10.55 / 10.83 / 10.52. Net assets $4.73B - $6.74B - $11.08B - $17.87B - $28.09B - $31.26B (explosive growth). Daily NAV series via ticker CCLFX (see data/series/).</w:t>
              <w:br/>
              <w:t>1.2: AATR as of 3/31/2026: 1yr 7.63% / 3yr 10.89% / 5yr 9.79% / SI 9.34% (inception 6/5/2019) vs Morningstar LSTA US Leveraged Loan Index 4.81 / 8.00 / 5.93 / 5.51. FY total returns FY26-FY21: 7.61 / 11.58 / 13.34 / 7.06 / 1.</w:t>
              <w:br/>
              <w:t xml:space="preserve">1.3: Gross and net are IDENTICAL in recent years - no active waiver. FY2026 Class I (Consolidated Financial Highlights): ratio of expenses to average net assets EXCLUDING interest expense, before fees waived and deferred tax </w:t>
              <w:br/>
              <w:t>1.4: Class I per-share distributions (Consolidated Financial Highlights): FY ended 3/31/2026 total $(1.09), all from net investment income (return of capital — ; net realized gain — ); FY2025 $(0.90) all NII; FY2024 $(1.45) =</w:t>
            </w:r>
          </w:p>
        </w:tc>
      </w:tr>
      <w:tr>
        <w:tc>
          <w:tcPr>
            <w:tcW w:type="dxa" w:w="2016"/>
          </w:tcPr>
          <w:p>
            <w:r>
              <w:t>2. Fees</w:t>
            </w:r>
          </w:p>
        </w:tc>
        <w:tc>
          <w:tcPr>
            <w:tcW w:type="dxa" w:w="7344"/>
          </w:tcPr>
          <w:p>
            <w:r>
              <w:t>2.1: 1.00% annualized on daily NET assets, paid monthly.</w:t>
              <w:br/>
              <w:t>2.2: No incentive fee identified in fee note (management fee only). Confirm in prospectus.</w:t>
              <w:br/>
              <w:t>2.3: Expense ratios (before waivers, FY26): 1.36% excluding interest expense; 3.31% including interest expense. History (excl-interest): FY25 1.32 / FY24 1.20 / FY23 1.23 / FY22 1.28 / FY21 1.32. The interest-expense gap IS t</w:t>
              <w:br/>
              <w:t>2.4: Fee table ('FUND FEES AND EXPENSES', Class I Shares, as % of net assets): Management Fees 1.00%; Fees and Interest Payments on Borrowed Funds 1.75%; Acquired Fund Fees and Expenses 0.25%; Other Expenses 0.27%; Total Annu</w:t>
            </w:r>
          </w:p>
        </w:tc>
      </w:tr>
      <w:tr>
        <w:tc>
          <w:tcPr>
            <w:tcW w:type="dxa" w:w="2016"/>
          </w:tcPr>
          <w:p>
            <w:r>
              <w:t>3. Liquidity</w:t>
            </w:r>
          </w:p>
        </w:tc>
        <w:tc>
          <w:tcPr>
            <w:tcW w:type="dxa" w:w="7344"/>
          </w:tcPr>
          <w:p>
            <w:r>
              <w:t>3.1: Rule 23c-3 periodic repurchase offer: up to five percent (5%) of outstanding shares, quarterly, at NAV (NYSE close on Repurchase Pricing Date). 8-quarter N-23C3A series on disk = cell 3.3 structured history.</w:t>
              <w:br/>
              <w:t>3.2: Current cycle (N-23C3A filed 2026-05-08): offer period 5/8/2026-5/29/2026; Repurchase Request Deadline 4:00 p.m. ET on 5/29/2026; Repurchase Pricing Date the SAME day, 5/29/2026 (NAV as of NYSE close); payment within sev</w:t>
              <w:br/>
              <w:t>3.4: As of March 31, 2026 (N-CSR): fair value hierarchy table — Level 3 investments $27,306,832,701 of $39,962,131,663 total investments at fair value, plus $11,508,152,570 measured at NAV as practical expedient; Level 1 $547</w:t>
              <w:br/>
              <w:t>3.6: Senior secured notes + revolving credit facility; $39.96B of holdings pledged as collateral at 3/31/2026 (vs $31.26B net assets -&gt; roughly $8-9B leverage implied). Detail in Senior Notes note.</w:t>
            </w:r>
          </w:p>
        </w:tc>
      </w:tr>
      <w:tr>
        <w:tc>
          <w:tcPr>
            <w:tcW w:type="dxa" w:w="2016"/>
          </w:tcPr>
          <w:p>
            <w:r>
              <w:t>4. Valuation</w:t>
            </w:r>
          </w:p>
        </w:tc>
        <w:tc>
          <w:tcPr>
            <w:tcW w:type="dxa" w:w="7344"/>
          </w:tcPr>
          <w:p>
            <w:r>
              <w:t>4.1: NAV frequency: daily — 'The Fund calculates its NAV as of the close of business on each Business Day and at such other times as the Board may determine' ('CALCULATION OF NET ASSET VALUE – GENERAL'); the Administrator cal</w:t>
              <w:br/>
              <w:t>4.2: ASC 820 hierarchy at 3/31/2026 (Note 5), investments at fair value by asset type: Senior Secured Loans L1 $0 / L2 $565,960,752 / L3 $26,075,702,710 = $26,641,663,462; Private Investment Vehicles L3 $575,518,297 + NAV pra</w:t>
              <w:br/>
              <w:t>4.3: No third-party valuation firm is NAMED in any on-disk filing. The N-CSR (Note 2) says corporate loans are valued using unobservable pricing inputs from the Fund's investment partners 'or other third -party pricing servic</w:t>
              <w:br/>
              <w:t>4.4: Level 3 valuation techniques and unobservable inputs at 3/31/2026 (Note 5 table; range then weighted average): SENIOR SECURED LOANS - $11,966,382,918 income approach, Discount Rate/Discount Margin 2.28%-26.46% (8.18%), w</w:t>
            </w:r>
          </w:p>
        </w:tc>
      </w:tr>
      <w:tr>
        <w:tc>
          <w:tcPr>
            <w:tcW w:type="dxa" w:w="2016"/>
          </w:tcPr>
          <w:p>
            <w:r>
              <w:t>5. Performance Benchmarks</w:t>
            </w:r>
          </w:p>
        </w:tc>
        <w:tc>
          <w:tcPr>
            <w:tcW w:type="dxa" w:w="7344"/>
          </w:tcPr>
          <w:p>
            <w:r>
              <w:t>5.1: CORRECTED per crosscheck: the fund EXPRESSLY DECLARES NO designated performance benchmark. Comparator indices in the shareholder report (Morningstar LSTA US Leveraged Loan; Bloomberg US Aggregate) are labeled illustrativ</w:t>
              <w:br/>
              <w:t>5.3: Alt asset-class index candidates evaluated by the engine (incl. paid/manual ones deliberately kept in the menu and rejected with reasons): Senior loan investable proxy (BKLN, for Morningstar LSTA class) (9/12) | PME / Di</w:t>
              <w:br/>
              <w:t>5.4: Peer cohort private_credit (n=5: cliffwater_cclfx, bcred, pflex, cion_ares, ocic). Equal-weight annual composite on printed fiscal-year returns for years with 2 or more reporting members: 2021 (n=5), 2022 (n=5), 2023 (n=</w:t>
              <w:br/>
              <w:t>5.5: PME inputs (computed, primary comparison): window 2019-06-05 to 2026-07-17; fund growth 1.7165x vs index 1.3697x (daily-anchored); flows = [-1 at window start, terminal growth at end]; index = BKLN adj close. KS-PME 1.25</w:t>
            </w:r>
          </w:p>
        </w:tc>
      </w:tr>
      <w:tr>
        <w:tc>
          <w:tcPr>
            <w:tcW w:type="dxa" w:w="2016"/>
          </w:tcPr>
          <w:p>
            <w:r>
              <w:t>6. Complexity</w:t>
            </w:r>
          </w:p>
        </w:tc>
        <w:tc>
          <w:tcPr>
            <w:tcW w:type="dxa" w:w="7344"/>
          </w:tcPr>
          <w:p>
            <w:r>
              <w:t>6.1: Legal form: Delaware statutory trust, registered closed-end management investment company operating as an interval fund; diversified; governed by Agreement and Declaration of Trust as most recently amended and restated S</w:t>
              <w:br/>
              <w:t>6.2: Objectives: primary — consistent current income; secondary — capital preservation. 80% policy: under normal market conditions at least 80% of assets (net assets plus borrowings for investment purposes) in loans to compan</w:t>
              <w:br/>
              <w:t>6.3: Conflicts: dedicated 'CONFLICTS OF INTEREST' section — Investment Manager and affiliates advise other vehicles with similar strategies that may compete for opportunities and may co-invest; shareholders deemed to acknowle</w:t>
              <w:br/>
              <w:t>6.4: PARTIAL: tax form NOT explicitly named in on-disk filings - searched 486BPOS 2025-07-29, 424B3 2025-08-12 and N-CSR 2026-06-08 for '1099' / 'K-1' / 'Schedule K': zero hits. What IS printed: fund 'has elected to be treate</w:t>
            </w:r>
          </w:p>
        </w:tc>
      </w:tr>
    </w:tbl>
    <w:p>
      <w:pPr>
        <w:pStyle w:val="Heading1"/>
      </w:pPr>
      <w:r>
        <w:t>Benchmark selection and justification</w:t>
      </w:r>
    </w:p>
    <w:p>
      <w:pPr>
        <w:pStyle w:val="Heading2"/>
      </w:pPr>
      <w:r>
        <w:t>Primary: Senior loan investable proxy (BKLN, for Morningstar LSTA class) (score 9/12)</w:t>
      </w:r>
    </w:p>
    <w:p>
      <w:r>
        <w:t>Window 2019-06-05 to 2026-07-17: fund 7.89%/yr vs benchmark 4.52%/yr, KS-PME 1.2532, Direct Alpha 3.22%/yr. Disclosure: PME and alpha computed on appraisal-lagged NAVs are window-sensitive and can be smoothing-flattered. Conclusions should be read with the methodology's window-sensitivity analysis.</w:t>
      </w:r>
    </w:p>
    <w:p>
      <w:r>
        <w:t>Two-point comparison: one contribution at the window start and one valuation at the end. Direct Alpha is the annualized form of the same two flows. ILLUSTRATIVE monthly-schedule KS-PME 1.1224 (86 equal contributions at the window start and each month-end inside it, valued at the window end). The two-point figure is primary.</w:t>
      </w:r>
    </w:p>
    <w:p>
      <w:pPr>
        <w:pStyle w:val="ListBullet"/>
      </w:pPr>
      <w:r>
        <w:t>strategy_match 2/3: broadly syndicated loans vs direct lending (close cousin, not twin). Fund itself declares NO benchmark (5.1), so the engine constructs one</w:t>
      </w:r>
    </w:p>
    <w:p>
      <w:pPr>
        <w:pStyle w:val="ListBullet"/>
      </w:pPr>
      <w:r>
        <w:t>risk_liquidity_match 1/3: daily-liquid proxy vs semi-liquid fund - vol/liquidity regimes differ</w:t>
      </w:r>
    </w:p>
    <w:p>
      <w:pPr>
        <w:pStyle w:val="ListBullet"/>
      </w:pPr>
      <w:r>
        <w:t>investability 2/2: investable, priced daily</w:t>
      </w:r>
    </w:p>
    <w:p>
      <w:pPr>
        <w:pStyle w:val="ListBullet"/>
      </w:pPr>
      <w:r>
        <w:t>data_quality 2/2: daily series</w:t>
      </w:r>
    </w:p>
    <w:p>
      <w:pPr>
        <w:pStyle w:val="ListBullet"/>
      </w:pPr>
      <w:r>
        <w:t>provider_independence 2/2: provider unaffiliated with the fund</w:t>
      </w:r>
    </w:p>
    <w:p>
      <w:pPr>
        <w:pStyle w:val="Heading2"/>
      </w:pPr>
      <w:r>
        <w:t>Secondary: PME / Direct Alpha vs BKLN (score 9/12)</w:t>
      </w:r>
    </w:p>
    <w:p>
      <w:r>
        <w:t>Window 2019-06-05 to 2026-07-17: fund 7.89%/yr vs benchmark 4.52%/yr, KS-PME 1.2532, Direct Alpha 3.22%/yr. Disclosure: PME and alpha computed on appraisal-lagged NAVs are window-sensitive and can be smoothing-flattered. Conclusions should be read with the methodology's window-sensitivity analysis.</w:t>
      </w:r>
    </w:p>
    <w:p>
      <w:r>
        <w:t>Two-point comparison: one contribution at the window start and one valuation at the end. Direct Alpha is the annualized form of the same two flows. ILLUSTRATIVE monthly-schedule KS-PME 1.1224 (86 equal contributions at the window start and each month-end inside it, valued at the window end). The two-point figure is primary.</w:t>
      </w:r>
    </w:p>
    <w:p>
      <w:pPr>
        <w:pStyle w:val="ListBullet"/>
      </w:pPr>
      <w:r>
        <w:t>strategy_match 2/3: wealth-ratio PME vs investable loan proxy</w:t>
      </w:r>
    </w:p>
    <w:p>
      <w:pPr>
        <w:pStyle w:val="ListBullet"/>
      </w:pPr>
      <w:r>
        <w:t>risk_liquidity_match 1/3: daily-liquid proxy vs semi-liquid fund - vol/liquidity regimes differ</w:t>
      </w:r>
    </w:p>
    <w:p>
      <w:pPr>
        <w:pStyle w:val="ListBullet"/>
      </w:pPr>
      <w:r>
        <w:t>investability 2/2: investable, priced daily</w:t>
      </w:r>
    </w:p>
    <w:p>
      <w:pPr>
        <w:pStyle w:val="ListBullet"/>
      </w:pPr>
      <w:r>
        <w:t>data_quality 2/2: daily series</w:t>
      </w:r>
    </w:p>
    <w:p>
      <w:pPr>
        <w:pStyle w:val="ListBullet"/>
      </w:pPr>
      <w:r>
        <w:t>provider_independence 2/2: provider unaffiliated with the fund</w:t>
      </w:r>
    </w:p>
    <w:p>
      <w:pPr>
        <w:pStyle w:val="Heading2"/>
      </w:pPr>
      <w:r>
        <w:t>Rejection log (candidates considered and not selected)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456"/>
          </w:tcPr>
          <w:p>
            <w:r>
              <w:t>Candidate</w:t>
            </w:r>
          </w:p>
        </w:tc>
        <w:tc>
          <w:tcPr>
            <w:tcW w:type="dxa" w:w="1152"/>
          </w:tcPr>
          <w:p>
            <w:r>
              <w:t>Score</w:t>
            </w:r>
          </w:p>
        </w:tc>
        <w:tc>
          <w:tcPr>
            <w:tcW w:type="dxa" w:w="4752"/>
          </w:tcPr>
          <w:p>
            <w:r>
              <w:t>Reason</w:t>
            </w:r>
          </w:p>
        </w:tc>
      </w:tr>
      <w:tr>
        <w:tc>
          <w:tcPr>
            <w:tcW w:type="dxa" w:w="3456"/>
          </w:tcPr>
          <w:p>
            <w:r>
              <w:t>Peer cohort: private_credit (cclfx, bcred, pflex, cion_ares, ocic)</w:t>
            </w:r>
          </w:p>
        </w:tc>
        <w:tc>
          <w:tcPr>
            <w:tcW w:type="dxa" w:w="1152"/>
          </w:tcPr>
          <w:p>
            <w:r>
              <w:t>7/12</w:t>
            </w:r>
          </w:p>
        </w:tc>
        <w:tc>
          <w:tcPr>
            <w:tcW w:type="dxa" w:w="4752"/>
          </w:tcPr>
          <w:p>
            <w:r>
              <w:t>outranked: score 7/12 vs primary 9/12 and secondary 9/12 (only two slots). Retained in log as viable alternate</w:t>
            </w:r>
          </w:p>
        </w:tc>
      </w:tr>
      <w:tr>
        <w:tc>
          <w:tcPr>
            <w:tcW w:type="dxa" w:w="3456"/>
          </w:tcPr>
          <w:p>
            <w:r>
              <w:t>Cliffwater Direct Lending Index (CDLI)</w:t>
            </w:r>
          </w:p>
        </w:tc>
        <w:tc>
          <w:tcPr>
            <w:tcW w:type="dxa" w:w="1152"/>
          </w:tcPr>
          <w:p>
            <w:r>
              <w:t>6/12</w:t>
            </w:r>
          </w:p>
        </w:tc>
        <w:tc>
          <w:tcPr>
            <w:tcW w:type="dxa" w:w="4752"/>
          </w:tcPr>
          <w:p>
            <w:r>
              <w:t>score 6/12 below primary threshold 7</w:t>
            </w:r>
          </w:p>
        </w:tc>
      </w:tr>
    </w:tbl>
    <w:p>
      <w:pPr>
        <w:pStyle w:val="Heading1"/>
      </w:pPr>
      <w:r>
        <w:t>Peer cohort placement</w:t>
      </w:r>
    </w:p>
    <w:p>
      <w:r>
        <w:t>Evidence depth tier: FULL. Cohort: Private credit (interval fund + non-traded BDC) (n=5). Membership rationale: Direct corporate lending in a Rule 23c-3 interval wrapper, the cohort's reference member. Daily NAV, quarterly obligated liquidity.</w:t>
      </w:r>
    </w:p>
    <w:p>
      <w:r>
        <w:t>Cohort placement (private_credit, R4 phrasing): mgmt fee: 10th percentile of cohort (n=5), below the median of 1.25 | expense ratio (bases differ, see notes): 10th percentile of cohort (n=5), below the median of 3.76 | repurchase cap: 50th percentile of cohort (n=5), at the median of 5. Stats and per-member values in data/cohorts/private_credit.json, membership rationales in data/facts.</w:t>
      </w:r>
    </w:p>
    <w:p>
      <w:pPr>
        <w:pStyle w:val="ListBullet"/>
      </w:pPr>
      <w:r>
        <w:t>Caveat: LEVERAGE-REGIME MIX: BDC 150% coverage and non-1940-Act wrappers allow materially more leverage than 1940-Act funds - fee bases and return volatility are not like-for-like. [bcred: BDC 150% asset-coverage regime - materially MORE leverage headroom than 1940-Act funds; cion_ares: 1940-Act asset-coverage limits; cliffwater_cclfx: 1940-Act asset-coverage limits; ocic: BDC 150% asset-coverage regime - materially MORE leverage headroom than 1940-Act funds; pflex: 1940-Act asset-coverage limits]</w:t>
      </w:r>
    </w:p>
    <w:p>
      <w:pPr>
        <w:pStyle w:val="ListBullet"/>
      </w:pPr>
      <w:r>
        <w:t>Caveat: LIQUIDITY-LAW MIX: Rule 23c-3 obligations, discretionary tenders, and repurchase plans give different worst-case exit rights; cadence numbers alone overstate comparability. [bcred: board-discretionary share repurchases; cion_ares: Rule 23c-3 OBLIGATION (board cannot skip a window); cliffwater_cclfx: Rule 23c-3 OBLIGATION (board cannot skip a window); ocic: board-discretionary share repurchases; pflex: Rule 23c-3 OBLIGATION (board cannot skip a window)]</w:t>
      </w:r>
    </w:p>
    <w:p>
      <w:pPr>
        <w:pStyle w:val="ListBullet"/>
      </w:pPr>
      <w:r>
        <w:t>Caveat: NAV-CADENCE MIX: daily, monthly, and quarterly NAV processes embed different appraisal smoothing; volatility and drawdown comparisons inherit that difference (see de-smoothing lab). [bcred: quarterly NAV determinations; cion_ares: daily NAV; cliffwater_cclfx: daily NAV; ocic: quarterly NAV determinations; pflex: daily NAV]</w:t>
      </w:r>
    </w:p>
    <w:p>
      <w:r>
        <w:t>Cohort exclusion log: every candidate considered and not admitted is recorded with its reason in data/roster_decisions.md (rendered on the site's Cohorts view). Membership is an argued judgment, not a tag.</w:t>
      </w:r>
    </w:p>
    <w:p>
      <w:pPr>
        <w:pStyle w:val="Heading1"/>
      </w:pPr>
      <w:r>
        <w:t>Provenance</w:t>
      </w:r>
    </w:p>
    <w:p>
      <w:r>
        <w:t>Every populated cell carries its source document, section, quote, extractor and verifier in data/evidence/. Current cell status for this product: computed: 11, extracted: 23, fetched: 2, n/a: 12, partial: 6. Cells marked extracted-unverified or computed await independent verification. Verified cells have been independently re-checked. Cells marked structured come directly from machine-readable regulatory data (N-CEN structured datasets, XBRL company facts) with the source dataset cited. No model judgment is involved.</w:t>
      </w:r>
    </w:p>
    <w:p>
      <w:r>
        <w:t>Data sources include SEC EDGAR filings (see data/manifest.csv) and DOL EBSA Form 5500 bulk data. Sponsor name NEVER appears on demo surfaces. Data is public (DOL Form 5500 FOIA files); anonymization is a project display rule, not a legal requirement.</w:t>
      </w:r>
    </w:p>
    <w:p>
      <w:pPr>
        <w:jc w:val="left"/>
      </w:pPr>
      <w:r>
        <w:br/>
        <w:t>Prepared by: ______________________    Reviewed by: ______________________    Date: 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