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Global management-consulting firm profit-sharing/401(k) plan (~$9.8B, NY)</w:t>
      </w:r>
      <w:r>
        <w:t xml:space="preserve">. Product: KKR Private Equity Conglomerate LLC (non-traded '34 Act reporting company, CIK 1957845).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Global management-consulting firm profit-sharing/401(k) plan (~$9.8B, NY) (ILLUSTRATIVE): CONDITIONAL.</w:t>
      </w:r>
    </w:p>
    <w:p>
      <w:r>
        <w:t>Meaningful benchmark (paragraph (k)): Cambridge Associates US PE benchmark at 8 of 10, cited, series not in the record. Meaningful benchmark by descriptor. No comparison until its series is held. Peer comparison (paragraphs (g) and (h)): 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w:t>
      </w:r>
    </w:p>
    <w:p>
      <w:r>
        <w:t>Reference comparison, not the meaningful benchmark: Listed private equity investable proxy (PSP), KS-PME 1.0387, Direct Alpha 1.91%/yr over 2023-12-31 to 2025-12-31.</w:t>
      </w:r>
    </w:p>
    <w:p>
      <w:r>
        <w:t>Evidence coverage: 36 of 41 resolved: 26 evidenced, 10 computed, 5 partial, 14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Benchmark: low confidence: 2-year window, shorter than 3 years (benchmark comparison)</w:t>
      </w:r>
    </w:p>
    <w:p>
      <w:pPr>
        <w:pStyle w:val="ListBullet"/>
      </w:pPr>
      <w:r>
        <w:t>Peer comparison: 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 (cell 1.12)</w:t>
      </w:r>
    </w:p>
    <w:p>
      <w:pPr>
        <w:pStyle w:val="ListBullet"/>
      </w:pPr>
      <w:r>
        <w:t>Liquidity: structural verdict partial, facts missing: gating history (cells 3.1, 3.3)</w:t>
      </w:r>
    </w:p>
    <w:p>
      <w:pPr>
        <w:pStyle w:val="ListBullet"/>
      </w:pPr>
      <w:r>
        <w:t>Tax reporting: Schedule K-1 (cell 6.4)</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2.4 years of history since 2023-08-01 (cell 1.11), net assets of approx. $9.5B (cell 3.3) and a KS-PME of 1.0387 against PSP (cell 1.8).</w:t>
            </w:r>
          </w:p>
          <w:p>
            <w:r>
              <w:t>Facts on record: 1.3 3.19% expense ratio, GAAP total operating expenses including the 2.75% performance participation, not a 1940-Act ratio (FY2025, Class I). 1.8 KS-PME 1.04 vs PSP (reference, not the benchmark). 1.11 inception 2023-08-01, 2.4 years.</w:t>
            </w:r>
          </w:p>
          <w:p>
            <w:r>
              <w:t>1.1 Net total return series (extracted-unverified): Annual NAV per share, Class I (Note 10. Financial Highlights): $25.88 at 12/31/2023 (issued at $25.47 from 9/1/2023 inception, period 8/1-12/31/2023), $28.94 at 12/31/2024, $33.61 at 12/31/2025.</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Meaningful benchmark (paragraph (k)), Cambridge Associates US PE benchmark scored 8 of 10.</w:t>
            </w:r>
          </w:p>
          <w:p>
            <w:r>
              <w:t>1.11 Track record &amp; manager tenure (extracted-unverified): Company formed / initially capitalized December 6, 2022, Form 10 registration statement automatically effective June 13, 2023, commenced principal operations August 1, 2023.</w:t>
            </w:r>
          </w:p>
          <w:p>
            <w:r>
              <w:t>1.12 Peer comparison (paragraphs (g) and (h)) (computed): Peer comparison (paragraphs (g) and (h)): evergreen private equity cohort, peers Hamilton Lane Private Assets Fund, StepStone Private Markets, Ares Private Markets Fund, AMG Pantheon Fund, LLC, fund return basis filed calendar-year returns (December fiscal year).</w:t>
            </w:r>
          </w:p>
          <w:p>
            <w:r>
              <w:t>Not applicable: 1.5 no underlying JV/deal-level performance is printed,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stress-window performance cannot exist for this vehicle. 1.10 not exchange-listed.</w:t>
            </w:r>
          </w:p>
        </w:tc>
      </w:tr>
      <w:tr>
        <w:trPr>
          <w:cantSplit/>
        </w:trPr>
        <w:tc>
          <w:tcPr>
            <w:tcW w:type="dxa" w:w="1728"/>
          </w:tcPr>
          <w:p>
            <w:r>
              <w:t>2. Fees (h)</w:t>
            </w:r>
          </w:p>
        </w:tc>
        <w:tc>
          <w:tcPr>
            <w:tcW w:type="dxa" w:w="7632"/>
          </w:tcPr>
          <w:p>
            <w:r>
              <w:t>On fees and expenses (h), the management fee is 1.25% on NAV (cell 2.1), the incentive fee is 15% / 5% hurdle (cell 2.2), the expense ratio is 3.19% (GAAP total operating expenses including the 2.75% performance participation, not a 1940-Act ratio (FY2025, Class I)) (cell 1.3) and the early repurchase fee is 5% &lt; 24 months (cell 2.7).</w:t>
            </w:r>
          </w:p>
          <w:p>
            <w:r>
              <w:t>Facts on record: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expiry is itself an evaluative datum.</w:t>
            </w:r>
          </w:p>
          <w:p>
            <w:r>
              <w:t>2.4 AFFE (partial): PARTIAL: No 'Acquired Fund Fees and Expenses' line exists,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 private equity cohort):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aggregate NAV, the repurchase program is active as of 2025-12-31 (cell 3.1), the plan's filed outflow proxy is 6.5% of the position per year (the plan record) and the structural verdict is partial with the scenario verdict conditional under this plan (ILLUSTRATIVE, cell 3.9).</w:t>
            </w:r>
          </w:p>
          <w:p>
            <w:r>
              <w:t>Facts on record: 3.1 quarterly dealing, 5% cap per quarter on aggregate NAV. 3.3 $9.5B net assets. 3.9 structural verdict partial, plan-independent.</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Share Repurchases): 247,476 Class R-I @ $31.84 avg, 576,591 Class R-U @ $30.97, 12,620 Class U @ $31.77, 12,369 Class I @ $32.64, 819 Class D @ $32.57, 20,516 Class R-D @ $32.57.</w:t>
            </w:r>
          </w:p>
          <w:p>
            <w:r>
              <w:t>3.4 Portfolio liquidity profile (extracted-unverified): As of 12/31/2025 ($ thousands): fair value hierarchy,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'The Manager determines the NAV of our Shares monthly' (Manager = KKR DAV Manager LLC).</w:t>
            </w:r>
          </w:p>
          <w:p>
            <w:r>
              <w:t>4.2 Fair-value hierarchy (L1/2/3) (extracted-unverified): Fair value hierarchy at 12/31/2025 ($ thousands, Note 4): Portfolio companies, Level I $23,278 / Level II $0 / Level III $8,980,760 / NAV practical expedient $5,411 = $9,009,449 total, FX-forward unrealized appreciation, Level II $27,607, FX-forward unrealized depreciation, Level II $(5,177), Money market funds,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10-K (FY2025, filed 2026-03-26) and 10-Q (Q1 2026, filed 2026-05-13),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DOCUMENTED ABSENCE: the Company self-declares NO performance benchmark anywhere in the FY2025 10-K.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2023-12-31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LLC ('34 Act) (cell 6.1), tax reporting is Schedule K-1 (cell 6.4) and cells 6.6 and 6.8 are advisor-completed under paragraph (l).</w:t>
            </w:r>
          </w:p>
          <w:p>
            <w:r>
              <w:t>Facts on record: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the word 'exemptive' has zero hits) and so it qualifies as a partnership for U.S. federal income tax purposes.</w:t>
            </w:r>
          </w:p>
          <w:p>
            <w:r>
              <w:t>6.2 Strategy &amp; instrument complexity (extracted-unverified): Strategy: private equity conglomerate,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15% / 5% hurdle</w:t>
            </w:r>
          </w:p>
        </w:tc>
        <w:tc>
          <w:tcPr>
            <w:tcW w:type="dxa" w:w="2880"/>
          </w:tcPr>
          <w:p>
            <w:r>
              <w:t>extracted-unverified</w:t>
            </w:r>
          </w:p>
        </w:tc>
      </w:tr>
      <w:tr>
        <w:trPr>
          <w:cantSplit/>
        </w:trPr>
        <w:tc>
          <w:tcPr>
            <w:tcW w:type="dxa" w:w="2880"/>
          </w:tcPr>
          <w:p>
            <w:r>
              <w:t>2.3 Total expense ratio &amp; waivers</w:t>
            </w:r>
          </w:p>
        </w:tc>
        <w:tc>
          <w:tcPr>
            <w:tcW w:type="dxa" w:w="3600"/>
          </w:tcPr>
          <w:p>
            <w:r>
              <w:t>no fact on record for this cell</w:t>
            </w:r>
          </w:p>
        </w:tc>
        <w:tc>
          <w:tcPr>
            <w:tcW w:type="dxa" w:w="2880"/>
          </w:tcPr>
          <w:p>
            <w:r>
              <w:t>partial</w:t>
            </w:r>
          </w:p>
        </w:tc>
      </w:tr>
      <w:tr>
        <w:trPr>
          <w:cantSplit/>
        </w:trPr>
        <w:tc>
          <w:tcPr>
            <w:tcW w:type="dxa" w:w="2880"/>
          </w:tcPr>
          <w:p>
            <w:r>
              <w:t>2.4 AFFE</w:t>
            </w:r>
          </w:p>
        </w:tc>
        <w:tc>
          <w:tcPr>
            <w:tcW w:type="dxa" w:w="3600"/>
          </w:tcPr>
          <w:p>
            <w:r>
              <w:t>no fact on record for this cell</w:t>
            </w:r>
          </w:p>
        </w:tc>
        <w:tc>
          <w:tcPr>
            <w:tcW w:type="dxa" w:w="2880"/>
          </w:tcPr>
          <w:p>
            <w:r>
              <w:t>partial</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5% &lt; 24 months</w:t>
            </w:r>
          </w:p>
        </w:tc>
        <w:tc>
          <w:tcPr>
            <w:tcW w:type="dxa" w:w="2880"/>
          </w:tcPr>
          <w:p>
            <w:r>
              <w:t>extracted-unverified</w:t>
            </w:r>
          </w:p>
        </w:tc>
      </w:tr>
      <w:tr>
        <w:trPr>
          <w:cantSplit/>
        </w:trPr>
        <w:tc>
          <w:tcPr>
            <w:tcW w:type="dxa" w:w="2880"/>
          </w:tcPr>
          <w:p>
            <w:r>
              <w:t>6.4 Tax reporting (1099 vs K-1)</w:t>
            </w:r>
          </w:p>
        </w:tc>
        <w:tc>
          <w:tcPr>
            <w:tcW w:type="dxa" w:w="3600"/>
          </w:tcPr>
          <w:p>
            <w:r>
              <w:t>Schedule K-1</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1.0387, Direct Alpha 1.91%/yr, 2023-12-31 to 2025-12-31</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exchange-traded strategy proxy</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cb786e22. Rubric v3.1. The full record hash is cb786e22008866f5a78f21d76211a9129af0853d954cc65ad895ecf6275dab66.</w:t>
      </w:r>
    </w:p>
    <w:p>
      <w:pPr>
        <w:pStyle w:val="ListBullet"/>
      </w:pPr>
      <w:r>
        <w:t>Strategy match 3 of 3: a private-market index of private equity for a private equity conglomerate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2023-12-31 to 2025-12-31: fund 13.95%/yr (filed calendar-year returns (December fiscal year)) vs the public series 11.81%/yr, KS-PME 1.0387, Direct Alpha 1.91%/yr. Disclosure: PME and alpha computed on appraisal-lagged NAVs are window-sensitive and can be smoothing-flattered. Conclusions should be read with the methodology's window-sensitivity analysis. Low confidence: 2-year window, shorter than 3 years.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documented absence of a self-declared performance benchmark.</w:t>
      </w:r>
    </w:p>
    <w:p>
      <w:pPr>
        <w:pStyle w:val="Heading2"/>
        <w:keepNext/>
      </w:pPr>
      <w:r>
        <w:t>Peer comparison (paragraphs (g) and (h)): evergreen private equity cohort</w:t>
      </w:r>
    </w:p>
    <w:p>
      <w:r>
        <w:t>Peers: Hamilton Lane Private Assets Fund, StepStone Private Markets, Ares Private Markets Fund, AMG Pantheon Fund, LLC. This is the history of similar investments, not the benchmark, and it is never a public market equivalent.</w:t>
      </w:r>
    </w:p>
    <w:p>
      <w:pPr>
        <w:keepNext/>
      </w:pPr>
      <w:r>
        <w:t>Composite refused: fewer than 3 peers share KKR Private Equity Conglomerate LLC's period basis (calendar years): 0 aligned, the rest report on another basis (Hamilton Lane Private Assets Fund (fiscal years to month 03), StepStone Private Markets (fiscal years to month 03), Ares Private Markets Fund (fiscal years to month 03), AMG Pantheon Fund, LLC (fiscal years to month 03)). A composite needs identical start and end dates for every member. The side-by-side table is shown without a ratio.</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KKR Private Equity Conglomerate LLC</w:t>
            </w:r>
          </w:p>
        </w:tc>
        <w:tc>
          <w:tcPr>
            <w:tcW w:type="dxa" w:w="1498"/>
          </w:tcPr>
          <w:p>
            <w:r>
              <w:t>Hamilton Lane Private Assets Fund</w:t>
            </w:r>
          </w:p>
        </w:tc>
        <w:tc>
          <w:tcPr>
            <w:tcW w:type="dxa" w:w="1498"/>
          </w:tcPr>
          <w:p>
            <w:r>
              <w:t>StepStone Private Markets</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n/a</w:t>
            </w:r>
          </w:p>
        </w:tc>
        <w:tc>
          <w:tcPr>
            <w:tcW w:type="dxa" w:w="1498"/>
          </w:tcPr>
          <w:p>
            <w:r>
              <w:t>20.77%</w:t>
            </w:r>
          </w:p>
        </w:tc>
        <w:tc>
          <w:tcPr>
            <w:tcW w:type="dxa" w:w="1498"/>
          </w:tcPr>
          <w:p>
            <w:r>
              <w:t>29.43%</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n/a</w:t>
            </w:r>
          </w:p>
        </w:tc>
        <w:tc>
          <w:tcPr>
            <w:tcW w:type="dxa" w:w="1498"/>
          </w:tcPr>
          <w:p>
            <w:r>
              <w:t>16.1%</w:t>
            </w:r>
          </w:p>
        </w:tc>
        <w:tc>
          <w:tcPr>
            <w:tcW w:type="dxa" w:w="1498"/>
          </w:tcPr>
          <w:p>
            <w:r>
              <w:t>8.23%</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n/a</w:t>
            </w:r>
          </w:p>
        </w:tc>
        <w:tc>
          <w:tcPr>
            <w:tcW w:type="dxa" w:w="1498"/>
          </w:tcPr>
          <w:p>
            <w:r>
              <w:t>12.68%</w:t>
            </w:r>
          </w:p>
        </w:tc>
        <w:tc>
          <w:tcPr>
            <w:tcW w:type="dxa" w:w="1498"/>
          </w:tcPr>
          <w:p>
            <w:r>
              <w:t>13.79%</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11.82%</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n/a</w:t>
            </w:r>
          </w:p>
        </w:tc>
        <w:tc>
          <w:tcPr>
            <w:tcW w:type="dxa" w:w="1498"/>
          </w:tcPr>
          <w:p>
            <w:r>
              <w:t>12.59%</w:t>
            </w:r>
          </w:p>
        </w:tc>
        <w:tc>
          <w:tcPr>
            <w:tcW w:type="dxa" w:w="1498"/>
          </w:tcPr>
          <w:p>
            <w:r>
              <w:t>10.76%</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16.14%</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n/a</w:t>
            </w:r>
          </w:p>
        </w:tc>
        <w:tc>
          <w:tcPr>
            <w:tcW w:type="dxa" w:w="1498"/>
          </w:tcPr>
          <w:p>
            <w:r>
              <w:t>14.6%</w:t>
            </w:r>
          </w:p>
        </w:tc>
        <w:tc>
          <w:tcPr>
            <w:tcW w:type="dxa" w:w="1498"/>
          </w:tcPr>
          <w:p>
            <w:r>
              <w:t>10.47%</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private equity conglomerate),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private equity conglomerate),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Global management-consulting firm profit-sharing/401(k) plan (~$9.8B, NY).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aggregate NAV.</w:t>
      </w:r>
    </w:p>
    <w:p>
      <w:pPr>
        <w:pStyle w:val="ListBullet"/>
      </w:pPr>
      <w:r>
        <w:t>Facts missing for a structural verdict: gating history (shares requested versus repurchased: the 10-K prints repurchases by class and discloses no proration, deferral or unsatisfied-request event for 2024-2025, but the requested amounts are not printed, so a clean False would overclaim (the completed-tender rule)). The verdict stays partial until they are read from the filings.</w:t>
      </w:r>
    </w:p>
    <w:p>
      <w:pPr>
        <w:pStyle w:val="ListBullet"/>
        <w:keepNext/>
      </w:pPr>
      <w:r>
        <w:t>Early repurchase economics: 5% if held &lt; 24 months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LLC ('34 Act)</w:t>
            </w:r>
          </w:p>
        </w:tc>
        <w:tc>
          <w:tcPr>
            <w:tcW w:type="dxa" w:w="1152"/>
          </w:tcPr>
          <w:p>
            <w:r>
              <w:t>6.1</w:t>
            </w:r>
          </w:p>
        </w:tc>
      </w:tr>
      <w:tr>
        <w:trPr>
          <w:cantSplit/>
        </w:trPr>
        <w:tc>
          <w:tcPr>
            <w:tcW w:type="dxa" w:w="2448"/>
          </w:tcPr>
          <w:p>
            <w:r>
              <w:t>Dealing terms</w:t>
            </w:r>
          </w:p>
        </w:tc>
        <w:tc>
          <w:tcPr>
            <w:tcW w:type="dxa" w:w="5760"/>
          </w:tcPr>
          <w:p>
            <w:r>
              <w:t>quarterly offers, 5% cap per quarter on aggregate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shares requested versus repurchased: the 10-K prints repurchases by class and discloses no proration, deferral or unsatisfied-request event for 2024-2025, but the requested amounts are not printed, so a clean False would overclaim (the completed-tender rule)</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5% if held &lt; 24 months (2.7)</w:t>
            </w:r>
          </w:p>
        </w:tc>
        <w:tc>
          <w:tcPr>
            <w:tcW w:type="dxa" w:w="1152"/>
          </w:tcPr>
          <w:p>
            <w:r>
              <w:t>2.7</w:t>
            </w:r>
          </w:p>
        </w:tc>
      </w:tr>
      <w:tr>
        <w:trPr>
          <w:cantSplit/>
        </w:trPr>
        <w:tc>
          <w:tcPr>
            <w:tcW w:type="dxa" w:w="2448"/>
          </w:tcPr>
          <w:p>
            <w:r>
              <w:t>Fund net assets (for the dollar capacity)</w:t>
            </w:r>
          </w:p>
        </w:tc>
        <w:tc>
          <w:tcPr>
            <w:tcW w:type="dxa" w:w="5760"/>
          </w:tcPr>
          <w:p>
            <w:r>
              <w:t>approx. $9.5B</w:t>
            </w:r>
          </w:p>
        </w:tc>
        <w:tc>
          <w:tcPr>
            <w:tcW w:type="dxa" w:w="1152"/>
          </w:tcPr>
          <w:p>
            <w:r>
              <w:t>3.3</w:t>
            </w:r>
          </w:p>
        </w:tc>
      </w:tr>
    </w:tbl>
    <w:p>
      <w:pPr>
        <w:pStyle w:val="Heading2"/>
        <w:keepNext/>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Liquidity view, not a fact): tail turnover 20%/yr, active turnover 5%/yr, 13.7% of the position per year = $67.3M/yr, shown beside the filed rate, not blended with it.</w:t>
      </w:r>
    </w:p>
    <w:p>
      <w:r>
        <w:t>Stressed (the filed outflow proxy plus the increment the stress multiples add under stress (tail turnover x2, active turnover x1.5 over the slider assumption)): demand $94.1M/yr = 19.2% of the position. within wrapper capacity (19.2% vs 20%) IF offers are not prorated.</w:t>
      </w:r>
    </w:p>
    <w:p>
      <w:r>
        <w:t>Fund capacity in dollars: $1.9B per year (20% of approx. $9.5B net assets, cell 3.3). The plan's demand at the filed rate is $31.9M per year, 1.68% of that capacity, a claim shared with every other holder.</w:t>
      </w:r>
    </w:p>
    <w:p>
      <w:r>
        <w:t>Scenario verdict (ILLUSTRATIVE, this plan): CONDITIONAL.</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$9.5B net assets (cell 3.3) is $1.9B per year. At a 5% allocation ($490.5M) the plan's demand at the filed rate is $31.9M per year, 1.68%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6.5% and the stressed demand 19.2% of the position per year both stay within the annual wrapper capacity 20% (binding cap 5% per quarter on aggregate NAV (3.1), quarterly offers (3.1), program active as of 2025-12-31 (3.1), gating history not on record (3.3)). Per quarter: filed 1.6% and stressed 4.8%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10, partial 4, fetched 1, n/a 14, pending 0. 36 of 41 resolved: 26 evidenced, 10 computed, 5 partial, 14 n/a, 0 verified by a person.</w:t>
      </w:r>
    </w:p>
    <w:p>
      <w:r>
        <w:t>Of the 36 resolved cells (structured, extracted-unverified, verified and computed), 36 carry a source document, 36 a section, 26 a verbatim quote (computed cells carry their computation and inputs instead of a quote) and 36 an extractor. 5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2026-03-26</w:t>
            </w:r>
          </w:p>
        </w:tc>
        <w:tc>
          <w:tcPr>
            <w:tcW w:type="dxa" w:w="4896"/>
          </w:tcPr>
          <w:p>
            <w:r>
              <w:t>accession 0001957845-26-000029</w:t>
            </w:r>
          </w:p>
          <w:p>
            <w:r>
              <w:t>https://www.sec.gov/Archives/edgar/data/1957845/000195784526000029/kkr-20251231.htm</w:t>
            </w:r>
          </w:p>
        </w:tc>
        <w:tc>
          <w:tcPr>
            <w:tcW w:type="dxa" w:w="2592"/>
          </w:tcPr>
          <w:p>
            <w:r>
              <w:t>1.1, 1.2, 1.3, 1.4, 1.11, 2.1, 2.2, 2.3, 2.4, 2.5, 2.6, 2.7, 3.1, 3.2, 3.3, 3.4, 3.6, 4.1, 4.2, 4.3, 4.4, 4.5, 4.6, 5.1, 6.1, 6.2, 6.3, 6.4, 6.5</w:t>
            </w:r>
          </w:p>
        </w:tc>
      </w:tr>
    </w:tbl>
    <w:p>
      <w:pPr>
        <w:keepNext/>
      </w:pPr>
      <w:r>
        <w:t>Cells whose reference does not resolve to a manifest row:</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(2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Global management-consulting firm profit-sharing/401(k) plan (~$9.8B, NY). KKR Private Equity Conglomerate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KKR Private Equity Conglomerate LLC for Global management-consulting firm profit-sharing/401(k) plan (~$9.8B, NY)</dc:title>
  <dc:subject>Fiduciary Duties in Selecting Designated Investment Alternatives, 91 FR 16088 (Mar. 31, 2026), RIN 1210-AC38, proposed 29 CFR 2550.404a-6, paragraphs (g) to (l)</dc:subject>
  <dc:creator>Tark</dc:creator>
  <cp:keywords>kkr_kpec, plan_consulting_alumni,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