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StepStone Private Markets (tender-offer fund ('40 Act), CIK 1789470).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Global management-consulting firm profit-sharing/401(k) plan (~$9.8B, NY)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0.9423 vs the equal-weight peer composite over FY2023 to FY2026 (years to 03-31) (n=3), not a benchmark and not a PME.</w:t>
      </w:r>
    </w:p>
    <w:p>
      <w:r>
        <w:t>Reference comparison, not the meaningful benchmark: Listed private equity investable proxy (PSP), KS-PME 1.8718, Direct Alpha 13.36%/yr over 2021-03-31 to 2026-03-31.</w:t>
      </w:r>
    </w:p>
    <w:p>
      <w:r>
        <w:t>Evidence coverage: 38 of 42 resolved: 27 evidenced, 11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5.5 years of history since 2020-10-01 (cell 1.2), net assets of approx. $5.8B (cell 3.6), a KS-PME of 1.8718 against PSP (cell 1.8) and a relative wealth ratio of 0.9423 against the peer composite (cell 1.12).</w:t>
            </w:r>
          </w:p>
          <w:p>
            <w:r>
              <w:t>Facts on record: 1.2 inception: 2020-10-01. 1.8 KS-PME 1.87 vs PSP (reference, not the benchmark). 1.12 peer relative wealth ratio 0.94, not a benchmark.</w:t>
            </w:r>
          </w:p>
          <w:p>
            <w:r>
              <w:t>1.1 Net total return series (extracted-unverified): Class I NAV per share, end of FY (from Consolidated Financial Highlights, FYE Mar 31): FY2022 $43.07, FY2023 $45.61, FY2024 $51.73, FY2025 $56.54, FY2026 $61.74.</w:t>
            </w:r>
          </w:p>
          <w:p>
            <w:r>
              <w:t>1.2 Trailing &amp; calendar-year returns (extracted-unverified): Class I FY2026 total return 10.47%.</w:t>
            </w:r>
          </w:p>
          <w:p>
            <w:r>
              <w:t>1.3 Gross vs net spread (extracted-unverified): Financial highlights print paired ratio rows 'Expenses before adviser expense recoupment (reimbursement)' vs 'Expenses after adviser expense recoupment (reimbursement)'.</w:t>
            </w:r>
          </w:p>
          <w:p>
            <w:r>
              <w:t>1.4 Distribution history &amp; composition (extracted-unverified): FY2026 (year ended 3/31/2026) Class I per-share distributions: total $0.70 = $0.01 from net investment income + $0.69 from net realized gains (FY2025 $0.72 = 0.18 + 0.54, FY2024 $0.16, FY2023 $0.96, FY2022 $0.48).</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Named portfolio managers: Thomas Keck (co-founded StepStone, leads global research and SPI database) and Michael Elio (joined StepStone in 2014, private equity team).</w:t>
            </w:r>
          </w:p>
          <w:p>
            <w:r>
              <w:t>1.12 Peer comparison (paragraphs (g) and (h)) (computed): Peer comparison (paragraphs (g) and (h)): evergreen private equity cohort, peers Hamilton Lane Private Assets Fund, KKR Private Equity Conglomerate LLC, Ares Private Markets Fund, AMG Pantheon Fund, LLC, fund return basis filed fiscal-year returns.</w:t>
            </w:r>
          </w:p>
          <w:p>
            <w:r>
              <w:t>Not applicable: 1.5 underlying fund/GP-level returns are LP-only reporting, filings disclose holdings at fair value (see 3.4/SOI and 4.2),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rPr>
          <w:cantSplit/>
        </w:trPr>
        <w:tc>
          <w:tcPr>
            <w:tcW w:type="dxa" w:w="1728"/>
          </w:tcPr>
          <w:p>
            <w:r>
              <w:t>2. Fees (h)</w:t>
            </w:r>
          </w:p>
        </w:tc>
        <w:tc>
          <w:tcPr>
            <w:tcW w:type="dxa" w:w="7632"/>
          </w:tcPr>
          <w:p>
            <w:r>
              <w:t>On fees and expenses (h), the management fee is 1.40% on net assets (cell 2.1) and the expense ratio is 1.91% (AFFE excluded (FY2026, Class I)) (cell 2.3).</w:t>
            </w:r>
          </w:p>
          <w:p>
            <w:r>
              <w:t>Facts on record: 2.1 1.40% on net assets. 2.3 1.91% expense ratio, AFFE excluded (FY2026, Class I). 2.4 AFFE 0.59%.</w:t>
            </w:r>
          </w:p>
          <w:p>
            <w:r>
              <w:t>2.1 Management fee (rate AND base) (extracted-unverified): 1.40% annualized on daily NET ASSETS (contrast: PAF charges same 1.40% on MANAGED ASSETS incl. leverage, fee-base comparison lands).</w:t>
            </w:r>
          </w:p>
          <w:p>
            <w:r>
              <w:t>2.2 Incentive fee terms (partial): No fund-level incentive fee identified in N-CSR or prospectus.</w:t>
            </w:r>
          </w:p>
          <w:p>
            <w:r>
              <w:t>2.3 Total expense ratio &amp; waivers (extracted-unverified): FY2026 (year ended 3/31/2026) expenses to average net assets: Class I 1.91%, Class D 2.17%, Class S 2.77%, before and after adviser recoupment/reimbursement identical in FY2026 (no net waiver effect).</w:t>
            </w:r>
          </w:p>
          <w:p>
            <w:r>
              <w:t>2.4 AFFE (extracted-unverified): AFFE line present in fee table: Acquired Fund Fees and Expenses 0.59% for ALL classes (S, D, I, R).</w:t>
            </w:r>
          </w:p>
          <w:p>
            <w:r>
              <w:t>2.5 Underlying GP economics (extracted-unverified): Printed ranges of underlying Investment Fund economics (fee-table footnote (2)): management fee generally 1.00% to 2.00% based on COMMITTED capital, plus approximately 15%-20% of net profits as Performance Fees (carried interests, incentive fees or allocations).</w:t>
            </w:r>
          </w:p>
          <w:p>
            <w:r>
              <w:t>2.6 Loads &amp; servicing fees (extracted-unverified): Sales load: Class S 3.50% of purchase amount, Class D, I, R: None.</w:t>
            </w:r>
          </w:p>
          <w:p>
            <w:r>
              <w:t>2.7 Early repurchase fee (partial): No early-repurchase-fee language matched in prospectus or N-CSR, likely none at fund level, confirm in tender-offer terms.</w:t>
            </w:r>
          </w:p>
          <w:p>
            <w:r>
              <w:t>2.9 Fee peer percentile (computed): Cohort placement (evergreen private equity cohort): mgmt fee: 50th percentile of cohort (n=5), at the median of 1.4 | expense ratio (bases differ, see notes): 10th percentile of cohort (n=5), below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6.5% of the position per year (the plan record) and the structural verdict is partial with the scenario verdict conditional under this plan (ILLUSTRATIVE, cell 3.9).</w:t>
            </w:r>
          </w:p>
          <w:p>
            <w:r>
              <w:t>Facts on record: 3.1 quarterly dealing, 5% cap per quarter on outstanding shares. 3.6 $5.8B net assets. 3.9 structural verdict partial, plan-independent.</w:t>
            </w:r>
          </w:p>
          <w:p>
            <w:r>
              <w:t>3.1 Wrapper liquidity terms (extracted-unverified): Quarterly tender offers: up to 5% of OUTSTANDING SHARES (vs PAF's 5% of net assets, different cap base), purchased at NAV.</w:t>
            </w:r>
          </w:p>
          <w:p>
            <w:r>
              <w:t>3.2 Repurchase mechanics (extracted-unverified): Current tender offer (SC TO-I filed 5/12/2026): Commencement Date May 12, 2026, Notice Date, Tender Withdrawal Date AND Valuation Date all June 16, 2026 (single-date design, all deadlines 4:00 p.m. ET).</w:t>
            </w:r>
          </w:p>
          <w:p>
            <w:r>
              <w:t>3.3 Repurchase history (extracted-unverified): N-CSR Note 10 repurchase history: FY2026 (ended 3/31/2026) 13,195,058 Shares repurchased vs FY2025 3,242,403 - a 4x year-over-year jump.</w:t>
            </w:r>
          </w:p>
          <w:p>
            <w:r>
              <w:t>3.4 Portfolio liquidity profile (extracted-unverified): As of 3/31/2026, total investments $5,985,219,502: Level 1 $56,631,533 (Public Securities only), Level 2 $0, Level 3 $291,577,842 (all Co-Investments, incl. CLO and CLO Warehouse positions valued with significant unobservable inputs), $5,637,010,127 valued at NAV as practical expedient and excluded from the fair value hierarchy (Secondary Investments $4,648.8M, Co-Investments $924.6M, Primary Investments $63.7M), i.e., ~99% of investments are Level 3 or NAV-based.</w:t>
            </w:r>
          </w:p>
          <w:p>
            <w:r>
              <w:t>3.6 Fund leverage &amp; facilities (extracted-unverified): Cash $247.3M + $300.0M undrawn credit facility as of 3/31/2026.</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Ernst &amp; Young LLP (Big 4) (cell 4.5).</w:t>
            </w:r>
          </w:p>
          <w:p>
            <w:r>
              <w:t>Facts on record: 4.5 Ernst &amp; Young LLP (Big 4).</w:t>
            </w:r>
          </w:p>
          <w:p>
            <w:r>
              <w:t>4.1 Valuation policy &amp; NAV frequency (extracted-unverified): Valuation: pursuant to Rule 2a-5, the Board has designated the Adviser (StepStone Group Private Wealth LLC) as valuation designee to perform fair value determinations, Board approved the Adviser's Valuation Policy, Adviser utilizes resources/personnel of the Sub-Adviser and the Fund's sub-administrator, Board retains ultimate oversight.</w:t>
            </w:r>
          </w:p>
          <w:p>
            <w:r>
              <w:t>4.2 Fair-value hierarchy (L1/2/3) (extracted-unverified): Full ASC 820 hierarchy table as of 3/31/2026 (N-CSR Note 3): Level 1 - Public Securities $56,631,533 (the only L1 row), Level 2 - $0 across all rows, Level 3 - Co-Investments $291,577,842 (only L3 row, includes CLO and CLO Warehouse positions), Investments Valued at NAV (practical expedient, excluded from the hierarchy), Co-Investments $924,564,974, Primary Investments $63,668,965, Secondary Investments $4,648,776,188, subtotal $5,637,010,127.</w:t>
            </w:r>
          </w:p>
          <w:p>
            <w:r>
              <w:t>4.3 Independent valuation agent (extracted-unverified): No NAMED third-party valuation firm anywhere in the on-disk docs (N-CSR FY2026, 486BPOS 2025-10-20, 424B3 2025-12-31, SC TO-I 2026-05-12): zero hits for Kroll/Houlihan/Duff &amp; Phelps/Lincoln International/Alvarez/Murray Devine/Valuation Research.</w:t>
            </w:r>
          </w:p>
          <w:p>
            <w:r>
              <w:t>4.4 Methodology by asset type (extracted-unverified): N-CSR Note 3 quantitative Level 3 inputs table as of 3/31/2026 (all rows are Co-Investments, sums to the $291,577,842 L3 total): (1) $8,369,719 - Market comparable companies, EV/EBITDA multiple 9.61x-14.40x, wtd avg 13.23x, increase in input -&gt; Increase in value.</w:t>
            </w:r>
          </w:p>
          <w:p>
            <w:r>
              <w:t>4.5 Auditor &amp; opinion (extracted-unverified): Ernst &amp; Young LLP, New York (Big-4).</w:t>
            </w:r>
          </w:p>
          <w:p>
            <w:r>
              <w:t>4.6 NAV restatement history (extracted-unverified): None identified: searched stripped texts of N-CSR 2026-06-09, 486BPOS 2025-10-20, 424B3 2025-12-31, SC TO-I 2026-05-12 plus NPORT-P 2026-05-29 XML for 'restat', 'error correction', 'reprocess', zero NAV-restatement/error-correction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Stated primary benchmark: MSCI World Index.</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3.1), tax reporting is Form 1099 (cell 6.4) and cells 6.6 and 6.8 are advisor-completed under paragraph (l).</w:t>
            </w:r>
          </w:p>
          <w:p>
            <w:r>
              <w:t>Facts on record: 6.4 Form 1099.</w:t>
            </w:r>
          </w:p>
          <w:p>
            <w:r>
              <w:t>6.1 Structure map (extracted-unverified): StepStone Private Markets: Delaware statutory trust organized 9/6/2019 under the Delaware Statutory Trust Act, registered under the 1940 Act as a DIVERSIFIED, closed-end management investment company, commenced operations 10/1/2020, four share classes I/D/S/R (Class T converted into Class S on 1/17/2025).</w:t>
            </w:r>
          </w:p>
          <w:p>
            <w:r>
              <w:t>6.2 Strategy &amp; instrument complexity (extracted-unverified): Strategy sleeves: (1) Secondary Investments, secondary purchases of existing interests in operating companies/projects/properties and unaffiliated Investment Funds, incl. Open-Ended Funds, 'Seasoned Investments' (funds already ~25% invested at closing) and stapled secondaries, (2) Co-Investments, direct equity in operating companies alongside lead Investment Managers (Fund holds minority/non-controlling positions), (3) Primary Investments, funds &lt;25% invested.</w:t>
            </w:r>
          </w:p>
          <w:p>
            <w:r>
              <w:t>6.3 Conflicts &amp; affiliated transactions (extracted-unverified): Conflicts disclosures (prospectus 'Conflicts of Interest' section): Advisers manage substantial Other Accounts with differing economic interests and time-allocation conflicts, Other Accounts may take larger stakes or invest where Fund does not.</w:t>
            </w:r>
          </w:p>
          <w:p>
            <w:r>
              <w:t>6.4 Tax reporting (1099 vs K-1) (extracted-unverified): 1099 reporting, marketed as a feature: prospectus lists 'Form 1099 DIV or Form 1099-B tax reporting instead of K-1s' under Favorable Structure, the direct contrast to K-PEC's K-1s.</w:t>
            </w:r>
          </w:p>
          <w:p>
            <w:r>
              <w:t>6.5 Service-provider web (extracted-unverified): Administrator: StepStone Group Private Wealth LLC (the Adviser), per Administration Agreement effective 4/27/2023 (fee up to 0.12% of net assets, earned $3.4M FY2026).</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net assets</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1.91% expense ratio, AFFE excluded (FY2026, Class I)</w:t>
            </w:r>
          </w:p>
        </w:tc>
        <w:tc>
          <w:tcPr>
            <w:tcW w:type="dxa" w:w="2880"/>
          </w:tcPr>
          <w:p>
            <w:r>
              <w:t>extracted-unverified</w:t>
            </w:r>
          </w:p>
        </w:tc>
      </w:tr>
      <w:tr>
        <w:trPr>
          <w:cantSplit/>
        </w:trPr>
        <w:tc>
          <w:tcPr>
            <w:tcW w:type="dxa" w:w="2880"/>
          </w:tcPr>
          <w:p>
            <w:r>
              <w:t>2.4 AFFE</w:t>
            </w:r>
          </w:p>
        </w:tc>
        <w:tc>
          <w:tcPr>
            <w:tcW w:type="dxa" w:w="3600"/>
          </w:tcPr>
          <w:p>
            <w:r>
              <w:t>AFFE 0.59%</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 fact on record for this cell</w:t>
            </w:r>
          </w:p>
        </w:tc>
        <w:tc>
          <w:tcPr>
            <w:tcW w:type="dxa" w:w="2880"/>
          </w:tcPr>
          <w:p>
            <w:r>
              <w:t>partial</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1.8718, Direct Alpha 13.36%/yr, 2021-03-31 to 2026-03-31</w:t>
            </w:r>
          </w:p>
        </w:tc>
      </w:tr>
      <w:tr>
        <w:trPr>
          <w:cantSplit/>
        </w:trPr>
        <w:tc>
          <w:tcPr>
            <w:tcW w:type="dxa" w:w="1584"/>
          </w:tcPr>
          <w:p>
            <w:r>
              <w:t>Declared benchmark</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1.185, Direct Alpha 3.45%/yr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0.9423, annualized excess return -1.47%/yr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af490314. Rubric v3.1. The full record hash is af490314278ecc3d84d26d4c6d9a62c4f6efbabcbae6d798f8db365a9017e3e5.</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2021-03-31 to 2026-03-31: fund 14.3%/yr (filed fiscal-year returns) vs the public series 0.83%/yr, KS-PME 1.8718, Direct Alpha 13.36%/yr.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Declared benchmark: MSCI World Index, held, scored 6 of 10, fails the strategy gate (strategy match 1 of 3). The declaration itself earns no points.</w:t>
      </w:r>
    </w:p>
    <w:p>
      <w:r>
        <w:t>Window 2021-03-31 to 2026-03-31: fund 14.3%/yr (filed fiscal-year returns) vs MSCI World Index 10.48%/yr, KS-PME 1.185, Direct Alpha 3.45%/yr.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Peer comparison (paragraphs (g) and (h)): evergreen private equity cohort</w:t>
      </w:r>
    </w:p>
    <w:p>
      <w:r>
        <w:t>Peers: Hamilton Lane Private Assets Fund, KKR Private Equity Conglomerate LLC, Ares Private Markets Fund, AMG Pantheon Fund, LLC. This is the history of similar investments, not the benchmark, and it is never a public market equivalent.</w:t>
      </w:r>
    </w:p>
    <w:p>
      <w:r>
        <w:t>Window FY2023 to FY2026 (years to 03-31) (4 fiscal-year periods, n=3 peers in every period): fund 10.79%/yr (filed fiscal-year returns) vs the peer composite 12.45%/yr, relative wealth ratio 0.9423, annualized excess return -1.47%/yr.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Ares Private Markets Fund: filed fiscal-year returns, AMG Pantheon Fund, LLC: filed fiscal-year returns. Excluded from the composite: KKR Private Equity Conglomerate LLC reports calendar years. StepStone Private Markets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StepStone Private Markets</w:t>
            </w:r>
          </w:p>
        </w:tc>
        <w:tc>
          <w:tcPr>
            <w:tcW w:type="dxa" w:w="1498"/>
          </w:tcPr>
          <w:p>
            <w:r>
              <w:t>Hamilton Lane Private Assets Fund</w:t>
            </w:r>
          </w:p>
        </w:tc>
        <w:tc>
          <w:tcPr>
            <w:tcW w:type="dxa" w:w="1498"/>
          </w:tcPr>
          <w:p>
            <w:r>
              <w:t>KKR Private Equity Conglomerate LLC</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29.43%</w:t>
            </w:r>
          </w:p>
        </w:tc>
        <w:tc>
          <w:tcPr>
            <w:tcW w:type="dxa" w:w="1498"/>
          </w:tcPr>
          <w:p>
            <w:r>
              <w:t>20.77%</w:t>
            </w:r>
          </w:p>
        </w:tc>
        <w:tc>
          <w:tcPr>
            <w:tcW w:type="dxa" w:w="1498"/>
          </w:tcPr>
          <w:p>
            <w:r>
              <w:t>n/a</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8.23%</w:t>
            </w:r>
          </w:p>
        </w:tc>
        <w:tc>
          <w:tcPr>
            <w:tcW w:type="dxa" w:w="1498"/>
          </w:tcPr>
          <w:p>
            <w:r>
              <w:t>16.1%</w:t>
            </w:r>
          </w:p>
        </w:tc>
        <w:tc>
          <w:tcPr>
            <w:tcW w:type="dxa" w:w="1498"/>
          </w:tcPr>
          <w:p>
            <w:r>
              <w:t>n/a</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13.79%</w:t>
            </w:r>
          </w:p>
        </w:tc>
        <w:tc>
          <w:tcPr>
            <w:tcW w:type="dxa" w:w="1498"/>
          </w:tcPr>
          <w:p>
            <w:r>
              <w:t>12.68%</w:t>
            </w:r>
          </w:p>
        </w:tc>
        <w:tc>
          <w:tcPr>
            <w:tcW w:type="dxa" w:w="1498"/>
          </w:tcPr>
          <w:p>
            <w:r>
              <w:t>n/a</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11.82%</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10.76%</w:t>
            </w:r>
          </w:p>
        </w:tc>
        <w:tc>
          <w:tcPr>
            <w:tcW w:type="dxa" w:w="1498"/>
          </w:tcPr>
          <w:p>
            <w:r>
              <w:t>12.59%</w:t>
            </w:r>
          </w:p>
        </w:tc>
        <w:tc>
          <w:tcPr>
            <w:tcW w:type="dxa" w:w="1498"/>
          </w:tcPr>
          <w:p>
            <w:r>
              <w:t>n/a</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16.14%</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10.47%</w:t>
            </w:r>
          </w:p>
        </w:tc>
        <w:tc>
          <w:tcPr>
            <w:tcW w:type="dxa" w:w="1498"/>
          </w:tcPr>
          <w:p>
            <w:r>
              <w:t>14.6%</w:t>
            </w:r>
          </w:p>
        </w:tc>
        <w:tc>
          <w:tcPr>
            <w:tcW w:type="dxa" w:w="1498"/>
          </w:tcPr>
          <w:p>
            <w:r>
              <w:t>n/a</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pPr>
      <w:r>
        <w:t>Facts missing for a structural verdict: gating history (per-offer tendered-vs-purchased counts not printed in on-disk filings. Sept 2025 offer was Board-UPSIZED (demand signal). Proration incidence unevidenced). The verdict stays partial until they are read from the filings.</w:t>
      </w:r>
    </w:p>
    <w:p>
      <w:pPr>
        <w:pStyle w:val="ListBullet"/>
        <w:keepNext/>
      </w:pPr>
      <w:r>
        <w:t>Early repurchase economics: not on record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3.1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per-offer tendered-vs-purchased counts not printed in on-disk filings. Sept 2025 offer was Board-UPSIZED (demand signal). Proration incidence unevidenced</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approx. $5.8B</w:t>
            </w:r>
          </w:p>
        </w:tc>
        <w:tc>
          <w:tcPr>
            <w:tcW w:type="dxa" w:w="1152"/>
          </w:tcPr>
          <w:p>
            <w:r>
              <w:t>3.6</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w:t>
      </w:r>
    </w:p>
    <w:p>
      <w:r>
        <w:t>Fund capacity in dollars: $1.2B per year (20% of approx. $5.8B net assets, cell 3.6). The plan's demand at the filed rate is $31.9M per year, 2.73%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approx. $5.8B net assets (cell 3.6) is $1.2B per year. At a 5% allocation ($490.5M) the plan's demand at the filed rate is $31.9M per year, 2.73%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6.5% and the stressed demand 19.2% of the position per year both stay within the annual wrapper capacity 20% (binding cap 5% per quarter on outstanding shares (3.1), quarterly offers (3.1), program active as of 2026-03-31 (3.1), gating history not on record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FULL. Cohort: Evergreen private equity ('40-Act funds + '34-Act conglomerate) (n=5). Membership rationale: Evergreen PE multi-strategy (secondaries-led) tender-offer fund,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11, partial 3, fetched 1, n/a 13, pending 0. 38 of 42 resolved: 27 evidenced, 11 computed, 4 partial, 13 n/a, 0 verified by a person.</w:t>
      </w:r>
    </w:p>
    <w:p>
      <w:r>
        <w:t>Of the 38 resolved cells (structured, extracted-unverified, verified and computed), 38 carry a source document, 38 a section, 27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486BPOS 2025-10-20</w:t>
            </w:r>
          </w:p>
        </w:tc>
        <w:tc>
          <w:tcPr>
            <w:tcW w:type="dxa" w:w="4896"/>
          </w:tcPr>
          <w:p>
            <w:r>
              <w:t>accession 0001193125-25-243390</w:t>
            </w:r>
          </w:p>
          <w:p>
            <w:r>
              <w:t>https://www.sec.gov/Archives/edgar/data/1789470/000119312525243390/d60278d486bpos.htm</w:t>
            </w:r>
          </w:p>
        </w:tc>
        <w:tc>
          <w:tcPr>
            <w:tcW w:type="dxa" w:w="2592"/>
          </w:tcPr>
          <w:p>
            <w:r>
              <w:t>1.11, 2.2, 2.4, 2.5, 2.6, 2.7, 4.3, 6.2, 6.3, 6.4</w:t>
            </w:r>
          </w:p>
        </w:tc>
      </w:tr>
      <w:tr>
        <w:trPr>
          <w:cantSplit/>
        </w:trPr>
        <w:tc>
          <w:tcPr>
            <w:tcW w:type="dxa" w:w="1872"/>
          </w:tcPr>
          <w:p>
            <w:r>
              <w:t>SC TO-I 2026-05-12</w:t>
            </w:r>
          </w:p>
        </w:tc>
        <w:tc>
          <w:tcPr>
            <w:tcW w:type="dxa" w:w="4896"/>
          </w:tcPr>
          <w:p>
            <w:r>
              <w:t>accession 0001193125-26-219013</w:t>
            </w:r>
          </w:p>
          <w:p>
            <w:r>
              <w:t>https://www.sec.gov/Archives/edgar/data/1789470/000119312526219013/na-20260512.htm</w:t>
            </w:r>
          </w:p>
        </w:tc>
        <w:tc>
          <w:tcPr>
            <w:tcW w:type="dxa" w:w="2592"/>
          </w:tcPr>
          <w:p>
            <w:r>
              <w:t>3.1, 3.2</w:t>
            </w:r>
          </w:p>
        </w:tc>
      </w:tr>
      <w:tr>
        <w:trPr>
          <w:cantSplit/>
        </w:trPr>
        <w:tc>
          <w:tcPr>
            <w:tcW w:type="dxa" w:w="1872"/>
          </w:tcPr>
          <w:p>
            <w:r>
              <w:t>N-CSR 2026-06-09</w:t>
            </w:r>
          </w:p>
        </w:tc>
        <w:tc>
          <w:tcPr>
            <w:tcW w:type="dxa" w:w="4896"/>
          </w:tcPr>
          <w:p>
            <w:r>
              <w:t>accession 0001213900-26-066828</w:t>
            </w:r>
          </w:p>
          <w:p>
            <w:r>
              <w:t>https://www.sec.gov/Archives/edgar/data/1789470/000121390026066828/ea0293635-01_ncsr.htm</w:t>
            </w:r>
          </w:p>
        </w:tc>
        <w:tc>
          <w:tcPr>
            <w:tcW w:type="dxa" w:w="2592"/>
          </w:tcPr>
          <w:p>
            <w:r>
              <w:t>1.1, 1.2, 1.3, 1.4, 2.1, 2.3, 2.7, 3.2, 3.3, 3.4, 3.6, 4.1, 4.2, 4.4, 4.5, 4.6, 5.1, 6.1, 6.5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StepStone Private Markets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StepStone Private Markets for Global management-consulting firm profit-sharing/401(k) plan (~$9.8B, NY)</dc:title>
  <dc:subject>Fiduciary Duties in Selecting Designated Investment Alternatives, 91 FR 16088 (Mar. 31, 2026), RIN 1210-AC38, proposed 29 CFR 2550.404a-6, paragraphs (g) to (l)</dc:subject>
  <dc:creator>Tark</dc:creator>
  <cp:keywords>stepstone_spm,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