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AMG Pantheon Fund, LLC (tender-offer fund ('40 Act), evergreen PE, CIK 1609211).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0.8813 vs the equal-weight peer composite over FY2023 to FY2026 (years to 03-31) (n=3), not a benchmark and not a PME.</w:t>
      </w:r>
    </w:p>
    <w:p>
      <w:r>
        <w:t>Reference comparison, not the meaningful benchmark: Listed private equity investable proxy (PSP), KS-PME 1.5919, Direct Alpha 6.87%/yr over 2019-03-31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11.5 years of history since 2014-09-30 (cell 1.11), a KS-PME of 1.5919 against PSP (cell 1.8) and a relative wealth ratio of 0.8813 against the peer composite (cell 1.12).</w:t>
            </w:r>
          </w:p>
          <w:p>
            <w:r>
              <w:t>Facts on record: 1.8 KS-PME 1.59 vs PSP (reference, not the benchmark). 1.11 inception 2014-09-30, 11.5 years. 1.12 peer relative wealth ratio 0.88, not a benchmark.</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inception 09/30/14 (Class 4 inception date, the performance table's dagger footnote marks 09/30/14 as the Fund's inception), approx. 11.5-year track record at FYE 2026-03-31.</w:t>
            </w:r>
          </w:p>
          <w:p>
            <w:r>
              <w:t>1.12 Peer comparison (paragraphs (g) and (h)) (computed): Peer comparison (paragraphs (g) and (h)): evergreen private equity cohort, peers Hamilton Lane Private Assets Fund, StepStone Private Markets, KKR Private Equity Conglomerate LLC, Ares Private Markets Fund, fund return basis filed fiscal-year returns.</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rPr>
          <w:cantSplit/>
        </w:trPr>
        <w:tc>
          <w:tcPr>
            <w:tcW w:type="dxa" w:w="1728"/>
          </w:tcPr>
          <w:p>
            <w:r>
              <w:t>2. Fees (h)</w:t>
            </w:r>
          </w:p>
        </w:tc>
        <w:tc>
          <w:tcPr>
            <w:tcW w:type="dxa" w:w="7632"/>
          </w:tcPr>
          <w:p>
            <w:r>
              <w:t>On fees and expenses (h), the management fee is 0.70% on net assets (cell 2.1), the incentive fee is none (cell 2.2), the expense ratio is 2.38% (total annual expenses of the inception class, classes range 2.38% to 3.38%) (cell 2.3) and the early repurchase fee is 2% &lt; 1 year (cell 2.7).</w:t>
            </w:r>
          </w:p>
          <w:p>
            <w:r>
              <w:t>Facts on record: 2.1 0.70% on net assets. 2.2 incentive fee: none. 2.3 2.38% expense ratio, total annual expenses of the inception class, classes range 2.38% to 3.38%.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no incentive or performance fee line.</w:t>
            </w:r>
          </w:p>
          <w:p>
            <w:r>
              <w:t>2.3 Total expense ratio &amp; waivers (extracted-unverified): N-2 fee tables, Total Annual Expenses (as % of net assets attributable to Units): Class 1 3.13%, Class 2 2.88%, Class 3 2.63%, Class 4 2.38%, Class 5 3.38%,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 private equity cohort):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11.5% of the position per year (the plan record) and the structural verdict is partial with the scenario verdict conditional under this plan (ILLUSTRATIVE, cell 3.9).</w:t>
            </w:r>
          </w:p>
          <w:p>
            <w:r>
              <w:t>Facts on record: 3.1 quarterly dealing, 5% cap per quarter. 3.3 repurchase cadence per year: 4. 3.9 structural verdict partial, plan-independent.</w:t>
            </w:r>
          </w:p>
          <w:p>
            <w:r>
              <w:t>3.1 Wrapper liquidity terms (extracted-unverified): Wrapper liquidity: unlisted tender-offer fund, no unitholder redemption right, repurchases only via written tenders at times/amounts/terms set by the Board in its sole discretion.</w:t>
            </w:r>
          </w:p>
          <w:p>
            <w:r>
              <w:t>3.2 Repurchase mechanics (extracted-unverified): Mechanics per live offer (SC TO-I filed 2026-08-03): tenders due 11:59 p.m. ET 2026-08-28, purchase price = class NAV as of Valuation Date 2026-09-30 (approx. one month after expiration), payment in cash or a non-interest-bearing uncertificated debt obligation for the Valuation-Date value, withdrawal rights until expiration, some Members must route the Letter of Transmittal via their Financial Advisor.</w:t>
            </w:r>
          </w:p>
          <w:p>
            <w:r>
              <w:t>3.3 Repurchase history (extracted-unverified): As disclosed (recorded 2026-08-15): live offer (launched 2026-08-03, expires 2026-08-28) for up to 11,957,272 Units, approx. 5% of the 239,145,444 Units outstanding at 5/31/2026.</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 Corporate Subsidiary and Lead Fund assets (the Lead Fund was organized to facilitate the facility).</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KPMG LLP (Big 4) (cell 4.5).</w:t>
            </w:r>
          </w:p>
          <w:p>
            <w:r>
              <w:t>Facts on record: 4.5 KPMG LLP (Big 4).</w:t>
            </w:r>
          </w:p>
          <w:p>
            <w:r>
              <w:t>4.1 Valuation policy &amp; NAV frequency (extracted-unverified): NAV FREQUENCY: monthly,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Self-declared comparison index in the annual report: MSCI World Index, used in both the cumulative-return graph (hypothetical $50,000,000 in Class 4 units vs the index) and the Average Annual Total Returns table (MSCI World rows measured from Fund inception 09/30/14: 1yr 18.90%, 5yr 10.27%, 10yr 11.80%, SI 10.16%).</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2019-03-31 to 2026-03-31 (series comparison, clipped: proxy series begins 2018-07-18, 3 fiscal year(s) outside it dropped).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no K-1.</w:t>
            </w:r>
          </w:p>
          <w:p>
            <w:r>
              <w:t>6.5 Service-provider web (extracted-unverified): Adviser/Investment Manager: Pantheon Ventures (US) LP (San Francisco, also sub-administrator).</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0.70%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2.38% expense ratio, total annual expenses of the inception class, classes range 2.38% to 3.38%</w:t>
            </w:r>
          </w:p>
        </w:tc>
        <w:tc>
          <w:tcPr>
            <w:tcW w:type="dxa" w:w="2880"/>
          </w:tcPr>
          <w:p>
            <w:r>
              <w:t>extracted-unverified</w:t>
            </w:r>
          </w:p>
        </w:tc>
      </w:tr>
      <w:tr>
        <w:trPr>
          <w:cantSplit/>
        </w:trPr>
        <w:tc>
          <w:tcPr>
            <w:tcW w:type="dxa" w:w="2880"/>
          </w:tcPr>
          <w:p>
            <w:r>
              <w:t>2.4 AFFE</w:t>
            </w:r>
          </w:p>
        </w:tc>
        <w:tc>
          <w:tcPr>
            <w:tcW w:type="dxa" w:w="3600"/>
          </w:tcPr>
          <w:p>
            <w:r>
              <w:t>AFFE 0.81%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1.5919, Direct Alpha 6.87%/yr, 2019-03-31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1.0483, Direct Alpha 0.68%/yr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0.8813, annualized excess return -3.11%/yr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2b5fedd2. Rubric v3.1. The full record hash is 2b5fedd2ceaa09ac45a7ae6fe9549c4a0b9335d9c3b8528373e93d266b05b596.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2019-03-31 to 2026-03-31 (clipped: proxy series begins 2018-07-18, 3 fiscal year(s) outside it dropped): fund 13.3%/yr (filed fiscal-year returns) vs the public series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2019-03-31 to 2026-03-31 (clipped: proxy series begins 2018-07-18, 3 fiscal year(s) outside it dropped): fund 13.3%/yr (filed fiscal-year returns) vs MSCI World Index 12.54%/yr, KS-PME 1.0483, Direct Alpha 0.68%/yr.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comparison index of the annual report's required performance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Ares Private Markets Fund. This is the history of similar investments, not the benchmark, and it is never a public market equivalent.</w:t>
      </w:r>
    </w:p>
    <w:p>
      <w:r>
        <w:t>Window FY2023 to FY2026 (years to 03-31) (4 fiscal-year periods, n=3 peers in every period): fund 9.41%/yr (filed fiscal-year returns) vs the peer composite 12.92%/yr, relative wealth ratio 0.8813, annualized excess return -3.11%/yr.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Ares Private Markets Fund: filed fiscal-year returns. Excluded from the composite: KKR Private Equity Conglomerate LLC reports calendar years. AMG Pantheon Fund, LLC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AMG Pantheon Fund, LLC</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r>
      <w:tr>
        <w:trPr>
          <w:cantSplit/>
        </w:trPr>
        <w:tc>
          <w:tcPr>
            <w:tcW w:type="dxa" w:w="1296"/>
          </w:tcPr>
          <w:p>
            <w:r>
              <w:t>FY2017 (year to 2017-03-31)</w:t>
            </w:r>
          </w:p>
        </w:tc>
        <w:tc>
          <w:tcPr>
            <w:tcW w:type="dxa" w:w="576"/>
          </w:tcPr>
          <w:p>
            <w:r>
              <w:t>1</w:t>
            </w:r>
          </w:p>
        </w:tc>
        <w:tc>
          <w:tcPr>
            <w:tcW w:type="dxa" w:w="1498"/>
          </w:tcPr>
          <w:p>
            <w:r>
              <w:t>14.27%</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FY2018 (year to 2018-03-31)</w:t>
            </w:r>
          </w:p>
        </w:tc>
        <w:tc>
          <w:tcPr>
            <w:tcW w:type="dxa" w:w="576"/>
          </w:tcPr>
          <w:p>
            <w:r>
              <w:t>1</w:t>
            </w:r>
          </w:p>
        </w:tc>
        <w:tc>
          <w:tcPr>
            <w:tcW w:type="dxa" w:w="1498"/>
          </w:tcPr>
          <w:p>
            <w:r>
              <w:t>14.26%</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FY2019 (year to 2019-03-31)</w:t>
            </w:r>
          </w:p>
        </w:tc>
        <w:tc>
          <w:tcPr>
            <w:tcW w:type="dxa" w:w="576"/>
          </w:tcPr>
          <w:p>
            <w:r>
              <w:t>1</w:t>
            </w:r>
          </w:p>
        </w:tc>
        <w:tc>
          <w:tcPr>
            <w:tcW w:type="dxa" w:w="1498"/>
          </w:tcPr>
          <w:p>
            <w:r>
              <w:t>10.11%</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FY2020 (year to 2020-03-31)</w:t>
            </w:r>
          </w:p>
        </w:tc>
        <w:tc>
          <w:tcPr>
            <w:tcW w:type="dxa" w:w="576"/>
          </w:tcPr>
          <w:p>
            <w:r>
              <w:t>1</w:t>
            </w:r>
          </w:p>
        </w:tc>
        <w:tc>
          <w:tcPr>
            <w:tcW w:type="dxa" w:w="1498"/>
          </w:tcPr>
          <w:p>
            <w:r>
              <w:t>4.15%</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FY2021 (year to 2021-03-31)</w:t>
            </w:r>
          </w:p>
        </w:tc>
        <w:tc>
          <w:tcPr>
            <w:tcW w:type="dxa" w:w="576"/>
          </w:tcPr>
          <w:p>
            <w:r>
              <w:t>1</w:t>
            </w:r>
          </w:p>
        </w:tc>
        <w:tc>
          <w:tcPr>
            <w:tcW w:type="dxa" w:w="1498"/>
          </w:tcPr>
          <w:p>
            <w:r>
              <w:t>35.72%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FY2022 (year to 2022-03-31)</w:t>
            </w:r>
          </w:p>
        </w:tc>
        <w:tc>
          <w:tcPr>
            <w:tcW w:type="dxa" w:w="576"/>
          </w:tcPr>
          <w:p>
            <w:r>
              <w:t>3</w:t>
            </w:r>
          </w:p>
        </w:tc>
        <w:tc>
          <w:tcPr>
            <w:tcW w:type="dxa" w:w="1498"/>
          </w:tcPr>
          <w:p>
            <w:r>
              <w:t>18.36%</w:t>
            </w:r>
          </w:p>
        </w:tc>
        <w:tc>
          <w:tcPr>
            <w:tcW w:type="dxa" w:w="1498"/>
          </w:tcPr>
          <w:p>
            <w:r>
              <w:t>20.77%</w:t>
            </w:r>
          </w:p>
        </w:tc>
        <w:tc>
          <w:tcPr>
            <w:tcW w:type="dxa" w:w="1498"/>
          </w:tcPr>
          <w:p>
            <w:r>
              <w:t>29.43%</w:t>
            </w:r>
          </w:p>
        </w:tc>
        <w:tc>
          <w:tcPr>
            <w:tcW w:type="dxa" w:w="1498"/>
          </w:tcPr>
          <w:p>
            <w:r>
              <w:t>n/a</w:t>
            </w:r>
          </w:p>
        </w:tc>
        <w:tc>
          <w:tcPr>
            <w:tcW w:type="dxa" w:w="1498"/>
          </w:tcPr>
          <w:p>
            <w:r>
              <w:t>n/a</w:t>
            </w:r>
          </w:p>
        </w:tc>
      </w:tr>
      <w:tr>
        <w:trPr>
          <w:cantSplit/>
        </w:trPr>
        <w:tc>
          <w:tcPr>
            <w:tcW w:type="dxa" w:w="1296"/>
          </w:tcPr>
          <w:p>
            <w:r>
              <w:t>FY2023 (year to 2023-03-31)</w:t>
            </w:r>
          </w:p>
        </w:tc>
        <w:tc>
          <w:tcPr>
            <w:tcW w:type="dxa" w:w="576"/>
          </w:tcPr>
          <w:p>
            <w:r>
              <w:t>4</w:t>
            </w:r>
          </w:p>
        </w:tc>
        <w:tc>
          <w:tcPr>
            <w:tcW w:type="dxa" w:w="1498"/>
          </w:tcPr>
          <w:p>
            <w:r>
              <w:t>6.45%</w:t>
            </w:r>
          </w:p>
        </w:tc>
        <w:tc>
          <w:tcPr>
            <w:tcW w:type="dxa" w:w="1498"/>
          </w:tcPr>
          <w:p>
            <w:r>
              <w:t>16.1%</w:t>
            </w:r>
          </w:p>
        </w:tc>
        <w:tc>
          <w:tcPr>
            <w:tcW w:type="dxa" w:w="1498"/>
          </w:tcPr>
          <w:p>
            <w:r>
              <w:t>8.23%</w:t>
            </w:r>
          </w:p>
        </w:tc>
        <w:tc>
          <w:tcPr>
            <w:tcW w:type="dxa" w:w="1498"/>
          </w:tcPr>
          <w:p>
            <w:r>
              <w:t>n/a</w:t>
            </w:r>
          </w:p>
        </w:tc>
        <w:tc>
          <w:tcPr>
            <w:tcW w:type="dxa" w:w="1498"/>
          </w:tcPr>
          <w:p>
            <w:r>
              <w:t>9.27%</w:t>
            </w:r>
          </w:p>
        </w:tc>
      </w:tr>
      <w:tr>
        <w:trPr>
          <w:cantSplit/>
        </w:trPr>
        <w:tc>
          <w:tcPr>
            <w:tcW w:type="dxa" w:w="1296"/>
          </w:tcPr>
          <w:p>
            <w:r>
              <w:t>FY2024 (year to 2024-03-31)</w:t>
            </w:r>
          </w:p>
        </w:tc>
        <w:tc>
          <w:tcPr>
            <w:tcW w:type="dxa" w:w="576"/>
          </w:tcPr>
          <w:p>
            <w:r>
              <w:t>4</w:t>
            </w:r>
          </w:p>
        </w:tc>
        <w:tc>
          <w:tcPr>
            <w:tcW w:type="dxa" w:w="1498"/>
          </w:tcPr>
          <w:p>
            <w:r>
              <w:t>12.08%</w:t>
            </w:r>
          </w:p>
        </w:tc>
        <w:tc>
          <w:tcPr>
            <w:tcW w:type="dxa" w:w="1498"/>
          </w:tcPr>
          <w:p>
            <w:r>
              <w:t>12.68%</w:t>
            </w:r>
          </w:p>
        </w:tc>
        <w:tc>
          <w:tcPr>
            <w:tcW w:type="dxa" w:w="1498"/>
          </w:tcPr>
          <w:p>
            <w:r>
              <w:t>13.79%</w:t>
            </w:r>
          </w:p>
        </w:tc>
        <w:tc>
          <w:tcPr>
            <w:tcW w:type="dxa" w:w="1498"/>
          </w:tcPr>
          <w:p>
            <w:r>
              <w:t>n/a</w:t>
            </w:r>
          </w:p>
        </w:tc>
        <w:tc>
          <w:tcPr>
            <w:tcW w:type="dxa" w:w="1498"/>
          </w:tcPr>
          <w:p>
            <w:r>
              <w:t>17.1%</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10.07%</w:t>
            </w:r>
          </w:p>
        </w:tc>
        <w:tc>
          <w:tcPr>
            <w:tcW w:type="dxa" w:w="1498"/>
          </w:tcPr>
          <w:p>
            <w:r>
              <w:t>12.59%</w:t>
            </w:r>
          </w:p>
        </w:tc>
        <w:tc>
          <w:tcPr>
            <w:tcW w:type="dxa" w:w="1498"/>
          </w:tcPr>
          <w:p>
            <w:r>
              <w:t>10.76%</w:t>
            </w:r>
          </w:p>
        </w:tc>
        <w:tc>
          <w:tcPr>
            <w:tcW w:type="dxa" w:w="1498"/>
          </w:tcPr>
          <w:p>
            <w:r>
              <w:t>n/a</w:t>
            </w:r>
          </w:p>
        </w:tc>
        <w:tc>
          <w:tcPr>
            <w:tcW w:type="dxa" w:w="1498"/>
          </w:tcPr>
          <w:p>
            <w:r>
              <w:t>19.95%</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9.1%</w:t>
            </w:r>
          </w:p>
        </w:tc>
        <w:tc>
          <w:tcPr>
            <w:tcW w:type="dxa" w:w="1498"/>
          </w:tcPr>
          <w:p>
            <w:r>
              <w:t>14.6%</w:t>
            </w:r>
          </w:p>
        </w:tc>
        <w:tc>
          <w:tcPr>
            <w:tcW w:type="dxa" w:w="1498"/>
          </w:tcPr>
          <w:p>
            <w:r>
              <w:t>10.47%</w:t>
            </w:r>
          </w:p>
        </w:tc>
        <w:tc>
          <w:tcPr>
            <w:tcW w:type="dxa" w:w="1498"/>
          </w:tcPr>
          <w:p>
            <w:r>
              <w:t>n/a</w:t>
            </w:r>
          </w:p>
        </w:tc>
        <w:tc>
          <w:tcPr>
            <w:tcW w:type="dxa" w:w="1498"/>
          </w:tcPr>
          <w:p>
            <w:r>
              <w:t>9.58%</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gating history (no proration or oversubscription event is disclosed in the on-disk documents, but the tendered-versus-accepted amounts per offer are not printed either. Completed-tender dollars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proration or oversubscription event is disclosed in the on-disk documents, but the tendered-versus-accepted amounts per offer are not printed either. Completed-tender dollars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11.5% and the stressed demand 16.6% of the position per year both stay within the annual wrapper capacity 20% (binding cap 5% per quarter on outstanding shares (3.1), quarterly offers (3.1), program active as of 2026-03-31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Evergreen private equity ('40-Act funds + '34-Act conglomerate) (n=5). Membership rationale: Evergreen PE (Pantheon) tender-offer LLC, wrapper and strategy twin of Hamilton Lane Private Assets Fund and StepStone Private Markets.</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2025-08-01</w:t>
            </w:r>
          </w:p>
        </w:tc>
        <w:tc>
          <w:tcPr>
            <w:tcW w:type="dxa" w:w="4896"/>
          </w:tcPr>
          <w:p>
            <w:r>
              <w:t>accession 0001193125-25-170996</w:t>
            </w:r>
          </w:p>
          <w:p>
            <w:r>
              <w:t>https://www.sec.gov/Archives/edgar/data/1609211/000119312525170996/d36907d424b3.htm</w:t>
            </w:r>
          </w:p>
        </w:tc>
        <w:tc>
          <w:tcPr>
            <w:tcW w:type="dxa" w:w="2592"/>
          </w:tcPr>
          <w:p>
            <w:r>
              <w:t>4.6 (cited as all filings held for the product, 4 held)</w:t>
            </w:r>
          </w:p>
        </w:tc>
      </w:tr>
      <w:tr>
        <w:trPr>
          <w:cantSplit/>
        </w:trPr>
        <w:tc>
          <w:tcPr>
            <w:tcW w:type="dxa" w:w="1872"/>
          </w:tcPr>
          <w:p>
            <w:r>
              <w:t>* 2026-06-09</w:t>
            </w:r>
          </w:p>
        </w:tc>
        <w:tc>
          <w:tcPr>
            <w:tcW w:type="dxa" w:w="4896"/>
          </w:tcPr>
          <w:p>
            <w:r>
              <w:t>accession 0001193125-26-264017</w:t>
            </w:r>
          </w:p>
          <w:p>
            <w:r>
              <w:t>https://www.sec.gov/Archives/edgar/data/1609211/000119312526264017/d138225dncsr.htm</w:t>
            </w:r>
          </w:p>
        </w:tc>
        <w:tc>
          <w:tcPr>
            <w:tcW w:type="dxa" w:w="2592"/>
          </w:tcPr>
          <w:p>
            <w:r>
              <w:t>4.6 (cited as all filings held for the product, 4 held)</w:t>
            </w:r>
          </w:p>
        </w:tc>
      </w:tr>
      <w:tr>
        <w:trPr>
          <w:cantSplit/>
        </w:trPr>
        <w:tc>
          <w:tcPr>
            <w:tcW w:type="dxa" w:w="1872"/>
          </w:tcPr>
          <w:p>
            <w:r>
              <w:t>N-CSR 2026-06-09</w:t>
            </w:r>
          </w:p>
        </w:tc>
        <w:tc>
          <w:tcPr>
            <w:tcW w:type="dxa" w:w="4896"/>
          </w:tcPr>
          <w:p>
            <w:r>
              <w:t>accession 0001193125-26-264017</w:t>
            </w:r>
          </w:p>
          <w:p>
            <w:r>
              <w:t>https://www.sec.gov/Archives/edgar/data/1609211/000119312526264017/d138225dncsr.htm</w:t>
            </w:r>
          </w:p>
        </w:tc>
        <w:tc>
          <w:tcPr>
            <w:tcW w:type="dxa" w:w="2592"/>
          </w:tcPr>
          <w:p>
            <w:r>
              <w:t>1.1, 1.2, 1.3, 1.4, 1.11, 2.1, 2.3, 2.5, 2.6, 2.7, 3.3, 3.4, 3.6, 4.1, 4.2, 4.3, 4.4, 4.5, 5.1, 6.1, 6.2, 6.3, 6.4, 6.5</w:t>
            </w:r>
          </w:p>
        </w:tc>
      </w:tr>
      <w:tr>
        <w:trPr>
          <w:cantSplit/>
        </w:trPr>
        <w:tc>
          <w:tcPr>
            <w:tcW w:type="dxa" w:w="1872"/>
          </w:tcPr>
          <w:p>
            <w:r>
              <w:t>* 2026-07-30</w:t>
            </w:r>
          </w:p>
        </w:tc>
        <w:tc>
          <w:tcPr>
            <w:tcW w:type="dxa" w:w="4896"/>
          </w:tcPr>
          <w:p>
            <w:r>
              <w:t>accession 0000950130-26-000196</w:t>
            </w:r>
          </w:p>
          <w:p>
            <w:r>
              <w:t>https://www.sec.gov/Archives/edgar/data/1609211/000095013026000196/d155376dn2.htm</w:t>
            </w:r>
          </w:p>
        </w:tc>
        <w:tc>
          <w:tcPr>
            <w:tcW w:type="dxa" w:w="2592"/>
          </w:tcPr>
          <w:p>
            <w:r>
              <w:t>4.6 (cited as all filings held for the product, 4 held)</w:t>
            </w:r>
          </w:p>
        </w:tc>
      </w:tr>
      <w:tr>
        <w:trPr>
          <w:cantSplit/>
        </w:trPr>
        <w:tc>
          <w:tcPr>
            <w:tcW w:type="dxa" w:w="1872"/>
          </w:tcPr>
          <w:p>
            <w:r>
              <w:t>N-2 2026-07-30</w:t>
            </w:r>
          </w:p>
        </w:tc>
        <w:tc>
          <w:tcPr>
            <w:tcW w:type="dxa" w:w="4896"/>
          </w:tcPr>
          <w:p>
            <w:r>
              <w:t>accession 0000950130-26-000196</w:t>
            </w:r>
          </w:p>
          <w:p>
            <w:r>
              <w:t>https://www.sec.gov/Archives/edgar/data/1609211/000095013026000196/d155376dn2.htm</w:t>
            </w:r>
          </w:p>
        </w:tc>
        <w:tc>
          <w:tcPr>
            <w:tcW w:type="dxa" w:w="2592"/>
          </w:tcPr>
          <w:p>
            <w:r>
              <w:t>1.1, 1.4, 1.11, 2.1 (matched by form only), 2.2, 2.3, 2.4, 2.5, 2.6, 2.7, 3.1, 3.2, 3.6, 4.1, 4.3, 6.2, 6.3, 6.5</w:t>
            </w:r>
          </w:p>
        </w:tc>
      </w:tr>
      <w:tr>
        <w:trPr>
          <w:cantSplit/>
        </w:trPr>
        <w:tc>
          <w:tcPr>
            <w:tcW w:type="dxa" w:w="1872"/>
          </w:tcPr>
          <w:p>
            <w:r>
              <w:t>* 2026-08-03</w:t>
            </w:r>
          </w:p>
        </w:tc>
        <w:tc>
          <w:tcPr>
            <w:tcW w:type="dxa" w:w="4896"/>
          </w:tcPr>
          <w:p>
            <w:r>
              <w:t>accession 0001193125-26-329591</w:t>
            </w:r>
          </w:p>
          <w:p>
            <w:r>
              <w:t>https://www.sec.gov/Archives/edgar/data/1609211/000119312526329591/d129441dsctoi.htm</w:t>
            </w:r>
          </w:p>
        </w:tc>
        <w:tc>
          <w:tcPr>
            <w:tcW w:type="dxa" w:w="2592"/>
          </w:tcPr>
          <w:p>
            <w:r>
              <w:t>4.6 (cited as all filings held for the product, 4 held)</w:t>
            </w:r>
          </w:p>
        </w:tc>
      </w:tr>
      <w:tr>
        <w:trPr>
          <w:cantSplit/>
        </w:trPr>
        <w:tc>
          <w:tcPr>
            <w:tcW w:type="dxa" w:w="1872"/>
          </w:tcPr>
          <w:p>
            <w:r>
              <w:t>SC TO-I 2026-08-03</w:t>
            </w:r>
          </w:p>
        </w:tc>
        <w:tc>
          <w:tcPr>
            <w:tcW w:type="dxa" w:w="4896"/>
          </w:tcPr>
          <w:p>
            <w:r>
              <w:t>accession 0001193125-26-329591</w:t>
            </w:r>
          </w:p>
          <w:p>
            <w:r>
              <w:t>https://www.sec.gov/Archives/edgar/data/1609211/000119312526329591/d129441dsctoi.htm</w:t>
            </w:r>
          </w:p>
        </w:tc>
        <w:tc>
          <w:tcPr>
            <w:tcW w:type="dxa" w:w="2592"/>
          </w:tcPr>
          <w:p>
            <w:r>
              <w:t>3.1, 3.2, 3.3, 6.1, 6.5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AMG Pantheon Fund,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AMG Pantheon Fund, LLC for US industrial manufacturer 401(k) plan (~$0.8B, OH)</dc:title>
  <dc:subject>Fiduciary Duties in Selecting Designated Investment Alternatives, 91 FR 16088 (Mar. 31, 2026), RIN 1210-AC38, proposed 29 CFR 2550.404a-6, paragraphs (g) to (l)</dc:subject>
  <dc:creator>Tark</dc:creator>
  <cp:keywords>amg_pantheon,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