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CION Ares Diversified Credit Fund (interval fund (Rule 23c-3, quarterly repurchases), CIK 1678124).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casual-dining restaurant group 401(k) plan (~$1.6B, FL)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0.9503 vs the equal-weight peer composite over 2021 to 2025 (n=4), not a benchmark and not a PME.</w:t>
      </w:r>
    </w:p>
    <w:p>
      <w:r>
        <w:t>Reference comparison, not the meaningful benchmark: Senior loan investable proxy (BKLN, for Morningstar LSTA class), KS-PME 1.1374, Direct Alpha 1.62%/yr over 2018-07-18 to 2026-07-17.</w:t>
      </w:r>
    </w:p>
    <w:p>
      <w:r>
        <w:t>Evidence coverage: 35 of 46 resolved: 23 evidenced, 12 computed, 11 partial, 9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documented-unavailable), 3.5 TDF/CIT liquidity sleeve (not applicable: documented-unavailable), 4.9 CIT unit valuation (not applicable: documented-unavailable).</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8.9 years of history since 2017-01-26 (cell 1.11), net assets of approx. $5.2B (cell 3.6), a KS-PME of 1.1374 against BKLN (cell 1.8) and a relative wealth ratio of 0.9503 against the peer composite (cell 1.12).</w:t>
            </w:r>
          </w:p>
          <w:p>
            <w:r>
              <w:t>Facts on record: 1.8 KS-PME 1.14 vs BKLN (reference, not the benchmark). 1.11 inception 2017-01-26, 8.9 years. 1.12 peer relative wealth ratio 0.95, not a benchmark.</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 expense support +3.12%), two-month period ended 12/31/2019 +2.88%, FY Oct-2019 +4.78%, FY Oct-2018 (2.19)% (incl. support +7.91%), inception-to-Oct-2017 (2.49)% (incl. support +2.95%).</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De-smoothed (Geltner AR1) annualized volatility 6.57% vs 6.07% observed (lag-1 autocorrelation rho 0.075, n=109 monthly returns of the held daily series CADUX, Yahoo adjusted close, approximates NAV total return with distributions reinvested).</w:t>
            </w:r>
          </w:p>
          <w:p>
            <w:r>
              <w:t>1.8 Risk-adjusted metrics (PME etc) (computed): Meaningful benchmark (paragraph (k)), Cliffwater Direct Lending Index (CDLI) scored 7 of 10.</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~8.9-year track record at FYE 2025.</w:t>
            </w:r>
          </w:p>
          <w:p>
            <w:r>
              <w:t>1.12 Peer comparison (paragraphs (g) and (h)) (computed): Peer comparison (paragraphs (g) and (h)): private credit cohort, peers Cliffwater Corporate Lending Fund, Blackstone Private Credit Fund, PIMCO Flexible Credit Income Fund, Blue Owl Credit Income Corp., fund return basis Yahoo adjusted close, approximates NAV total return (CADUX).</w:t>
            </w:r>
          </w:p>
          <w:p>
            <w:r>
              <w:t>Not applicable: 1.10 unlisted).</w:t>
            </w:r>
          </w:p>
        </w:tc>
      </w:tr>
      <w:tr>
        <w:trPr>
          <w:cantSplit/>
        </w:trPr>
        <w:tc>
          <w:tcPr>
            <w:tcW w:type="dxa" w:w="1728"/>
          </w:tcPr>
          <w:p>
            <w:r>
              <w:t>2. Fees (h)</w:t>
            </w:r>
          </w:p>
        </w:tc>
        <w:tc>
          <w:tcPr>
            <w:tcW w:type="dxa" w:w="7632"/>
          </w:tcPr>
          <w:p>
            <w:r>
              <w:t>On fees and expenses (h), the management fee is 1.25% on managed assets (leverage-inclusive) (cell 2.1), the incentive fee is 15% / 6% hurdle (cell 2.2), the expense ratio is 3.76% (excluding interest expense (6.90% including interest per the fee table), no contractual cap (FY2025, Class I)) (cell 2.3) and the early repurchase fee is none (cell 2.7).</w:t>
            </w:r>
          </w:p>
          <w:p>
            <w:r>
              <w:t>Facts on record: 2.1 1.25% on managed assets (leverage-inclusive). 2.2 incentive fee: 15% / 6% hurdle. 2.3 3.76% expense ratio, excluding interest expense (6.90% including interest per the fee table), no contractual cap (FY2025, Class I).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 management fee, administration reimbursements and preferred interest/distributions, but excluding the incentive fee), calculated and payable quarterly in arrears.</w:t>
            </w:r>
          </w:p>
          <w:p>
            <w:r>
              <w:t>2.3 Total expense ratio &amp; waivers (extracted-unverified): Prospectus fee table (as % of average net assets, assuming FY2025 actual average leverage of 50.63% of net assets),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 credit cohort):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2025-12-31 (cell 3.1), no proration is identified in the filings on record (cell 3.3), the plan's filed outflow proxy is 10.8% of the position per year (the plan record) and the structural verdict is conditional with the scenario verdict conditional under this plan (ILLUSTRATIVE, cell 3.9).</w:t>
            </w:r>
          </w:p>
          <w:p>
            <w:r>
              <w:t>Facts on record: 3.1 quarterly dealing, 5% cap per quarter on outstanding shares. 3.3 no gating identified in the filings on record. 3.6 $5.2B net assets. 3.9 structural verdict conditional, plan-independent.</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documented-unavailable.</w:t>
            </w:r>
          </w:p>
        </w:tc>
      </w:tr>
      <w:tr>
        <w:trPr>
          <w:cantSplit/>
        </w:trPr>
        <w:tc>
          <w:tcPr>
            <w:tcW w:type="dxa" w:w="1728"/>
          </w:tcPr>
          <w:p>
            <w:r>
              <w:t>4. Valuation (j)</w:t>
            </w:r>
          </w:p>
        </w:tc>
        <w:tc>
          <w:tcPr>
            <w:tcW w:type="dxa" w:w="7632"/>
          </w:tcPr>
          <w:p>
            <w:r>
              <w:t>On valuation (j), the holder transacts at NAV struck daily (the registry descriptors) and the auditor is Ernst &amp; Young LLP (Big 4) (cell 4.5).</w:t>
            </w:r>
          </w:p>
          <w:p>
            <w:r>
              <w:t>Facts on record: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the NAV-error-corrected flag=N.</w:t>
            </w:r>
          </w:p>
          <w:p>
            <w:r>
              <w:t>4.8 Smoothing diagnostics (computed): Smoothing diagnostics: lag-1 autocorrelation rho 0.075 on n=109 monthly returns of CADUX (Yahoo adjusted close, approximates NAV total return with distributions reinvested), observed annualized volatility 6.07% vs de-smoothed 6.57%.</w:t>
            </w:r>
          </w:p>
          <w:p>
            <w:r>
              <w:t>Not applicable: 4.7 documented-unavailable. 4.9 documented-unavailable.</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Self-declared broad-based benchmark: Credit Suisse Leveraged Loan Index (CSLLI),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 mezzanine, mortgages, distressed), US and European direct lending, high yield, structured credit/CLOs, real estate debt, predominantly below investment grade ('junk'), 'an investment in the Fund should be considered speculative.' Uses leverage (3 revolvers + 12 MRPS series), interest-rate swaps, credit default swaps (buy and sell protection), FX forwards, short sales, PIK income ($88,235K PIK interest+dividends in FY2025), foreign currencies, unfunded commitments.</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 ($3,909K), transfer agent SS&amp;C GIDS, Inc. ($1,450K), custodian State Street Bank and Trust Company (also a lender via the State Street Credit Facility), distributor ALPS Distributors, Inc., affiliated dealer manager/wholesale marketing agent CION Securities, LLC, auditor Ernst &amp; Young LLP, counsel Willkie Farr &amp; Gallagher LLP, swap counterparty Goldman Sachs International, lenders Wells Fargo (facility) and BNP.</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15% / 6% hurdle</w:t>
            </w:r>
          </w:p>
        </w:tc>
        <w:tc>
          <w:tcPr>
            <w:tcW w:type="dxa" w:w="2880"/>
          </w:tcPr>
          <w:p>
            <w:r>
              <w:t>extracted-unverified</w:t>
            </w:r>
          </w:p>
        </w:tc>
      </w:tr>
      <w:tr>
        <w:trPr>
          <w:cantSplit/>
        </w:trPr>
        <w:tc>
          <w:tcPr>
            <w:tcW w:type="dxa" w:w="2880"/>
          </w:tcPr>
          <w:p>
            <w:r>
              <w:t>2.3 Total expense ratio &amp; waivers</w:t>
            </w:r>
          </w:p>
        </w:tc>
        <w:tc>
          <w:tcPr>
            <w:tcW w:type="dxa" w:w="3600"/>
          </w:tcPr>
          <w:p>
            <w:r>
              <w:t>3.76% expense ratio, excluding interest expense (6.90% including interest per the fee table), no contractual cap (FY2025, Class I)</w:t>
            </w:r>
          </w:p>
        </w:tc>
        <w:tc>
          <w:tcPr>
            <w:tcW w:type="dxa" w:w="2880"/>
          </w:tcPr>
          <w:p>
            <w:r>
              <w:t>extracted-unverified</w:t>
            </w:r>
          </w:p>
        </w:tc>
      </w:tr>
      <w:tr>
        <w:trPr>
          <w:cantSplit/>
        </w:trPr>
        <w:tc>
          <w:tcPr>
            <w:tcW w:type="dxa" w:w="2880"/>
          </w:tcPr>
          <w:p>
            <w:r>
              <w:t>2.4 AFFE</w:t>
            </w:r>
          </w:p>
        </w:tc>
        <w:tc>
          <w:tcPr>
            <w:tcW w:type="dxa" w:w="3600"/>
          </w:tcPr>
          <w:p>
            <w:r>
              <w:t>not applicable, the record states why</w:t>
            </w:r>
          </w:p>
        </w:tc>
        <w:tc>
          <w:tcPr>
            <w:tcW w:type="dxa" w:w="2880"/>
          </w:tcPr>
          <w:p>
            <w:r>
              <w:t>n/a, documented-unavailable</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(CADUX).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1.1374, Direct Alpha 1.62%/yr, 2018-07-18 to 2026-07-17</w:t>
            </w:r>
          </w:p>
        </w:tc>
      </w:tr>
      <w:tr>
        <w:trPr>
          <w:cantSplit/>
        </w:trPr>
        <w:tc>
          <w:tcPr>
            <w:tcW w:type="dxa" w:w="1584"/>
          </w:tcPr>
          <w:p>
            <w:r>
              <w:t>SEC-required comparator</w:t>
            </w:r>
          </w:p>
        </w:tc>
        <w:tc>
          <w:tcPr>
            <w:tcW w:type="dxa" w:w="2736"/>
          </w:tcPr>
          <w:p>
            <w:r>
              <w:t>Credit Suisse Leveraged Loan Index</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0.9503, annualized excess return -1.01%/yr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c7a97907. Rubric v3.1. The full record hash is c7a979072c078a40de8fdd4e403061d67246559a8ff1f587e8b28779c6b3ea51.</w:t>
      </w:r>
    </w:p>
    <w:p>
      <w:pPr>
        <w:pStyle w:val="ListBullet"/>
      </w:pPr>
      <w:r>
        <w:t>Strategy match 2 of 3: same asset class, different sub-strategy (direct lending vs diversified credit)</w:t>
      </w:r>
    </w:p>
    <w:p>
      <w:pPr>
        <w:pStyle w:val="ListBullet"/>
      </w:pPr>
      <w:r>
        <w:t>Risk and liquidity match 3 of 3: appraisal-based index without a dealing mechanism of its own against a periodically dealt NAV fund with every request filled in full per the filings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6.08%/yr (Yahoo adjusted close, approximates NAV total return) vs the public series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Heading2"/>
        <w:keepNext/>
      </w:pPr>
      <w:r>
        <w:t>Declared benchmark and SEC-required comparators (cell 5.1)</w:t>
      </w:r>
    </w:p>
    <w:p>
      <w:r>
        <w:t>SEC-required comparator: Credit Suisse Leveraged Loan Index, cited, not held, scored 5 of 10, below the threshold. The declaration itself earns no points.</w:t>
      </w:r>
    </w:p>
    <w:p>
      <w:r>
        <w:t>No comparison: cited, series not in the record: no comparison computed.</w:t>
      </w:r>
    </w:p>
    <w:p>
      <w:r>
        <w:t>Declared benchmark: none. cell 5.1: the index is named in the annual report's required performance presentation as the broad-based securities market index, not as a benchmark the fund is managed to.</w:t>
      </w:r>
    </w:p>
    <w:p>
      <w:pPr>
        <w:pStyle w:val="Heading2"/>
        <w:keepNext/>
      </w:pPr>
      <w:r>
        <w:t>Peer comparison (paragraphs (g) and (h)): private credit cohort</w:t>
      </w:r>
    </w:p>
    <w:p>
      <w:r>
        <w:t>Peers: Cliffwater Corporate Lending Fund, Blackstone Private Credit Fund, PIMCO Flexible Credit Income Fund, Blue Owl Credit Income Corp. This is the history of similar investments, not the benchmark, and it is never a public market equivalent.</w:t>
      </w:r>
    </w:p>
    <w:p>
      <w:r>
        <w:t>Window 2021 to 2025 (5 calendar-year periods, n=4 peers in every period): fund 7.34%/yr (Yahoo adjusted close, approximates NAV total return) vs the peer composite 8.44%/yr, relative wealth ratio 0.9503, annualized excess return -1.01%/yr.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CION Ares Diversified Credit Fund</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4.45%</w:t>
            </w:r>
          </w:p>
        </w:tc>
        <w:tc>
          <w:tcPr>
            <w:tcW w:type="dxa" w:w="1498"/>
          </w:tcPr>
          <w:p>
            <w:r>
              <w:t>n/a</w:t>
            </w:r>
          </w:p>
        </w:tc>
        <w:tc>
          <w:tcPr>
            <w:tcW w:type="dxa" w:w="1498"/>
          </w:tcPr>
          <w:p>
            <w:r>
              <w:t>n/a</w:t>
            </w:r>
          </w:p>
        </w:tc>
        <w:tc>
          <w:tcPr>
            <w:tcW w:type="dxa" w:w="1498"/>
          </w:tcPr>
          <w:p>
            <w:r>
              <w:t>2.86%</w:t>
            </w:r>
          </w:p>
        </w:tc>
        <w:tc>
          <w:tcPr>
            <w:tcW w:type="dxa" w:w="1498"/>
          </w:tcPr>
          <w:p>
            <w:r>
              <w:t>n/a</w:t>
            </w:r>
          </w:p>
        </w:tc>
      </w:tr>
      <w:tr>
        <w:trPr>
          <w:cantSplit/>
        </w:trPr>
        <w:tc>
          <w:tcPr>
            <w:tcW w:type="dxa" w:w="1296"/>
          </w:tcPr>
          <w:p>
            <w:r>
              <w:t>2019</w:t>
            </w:r>
          </w:p>
        </w:tc>
        <w:tc>
          <w:tcPr>
            <w:tcW w:type="dxa" w:w="576"/>
          </w:tcPr>
          <w:p>
            <w:r>
              <w:t>2</w:t>
            </w:r>
          </w:p>
        </w:tc>
        <w:tc>
          <w:tcPr>
            <w:tcW w:type="dxa" w:w="1498"/>
          </w:tcPr>
          <w:p>
            <w:r>
              <w:t>9.5%</w:t>
            </w:r>
          </w:p>
        </w:tc>
        <w:tc>
          <w:tcPr>
            <w:tcW w:type="dxa" w:w="1498"/>
          </w:tcPr>
          <w:p>
            <w:r>
              <w:t>n/a</w:t>
            </w:r>
          </w:p>
        </w:tc>
        <w:tc>
          <w:tcPr>
            <w:tcW w:type="dxa" w:w="1498"/>
          </w:tcPr>
          <w:p>
            <w:r>
              <w:t>n/a</w:t>
            </w:r>
          </w:p>
        </w:tc>
        <w:tc>
          <w:tcPr>
            <w:tcW w:type="dxa" w:w="1498"/>
          </w:tcPr>
          <w:p>
            <w:r>
              <w:t>10.63%</w:t>
            </w:r>
          </w:p>
        </w:tc>
        <w:tc>
          <w:tcPr>
            <w:tcW w:type="dxa" w:w="1498"/>
          </w:tcPr>
          <w:p>
            <w:r>
              <w:t>n/a</w:t>
            </w:r>
          </w:p>
        </w:tc>
      </w:tr>
      <w:tr>
        <w:trPr>
          <w:cantSplit/>
        </w:trPr>
        <w:tc>
          <w:tcPr>
            <w:tcW w:type="dxa" w:w="1296"/>
          </w:tcPr>
          <w:p>
            <w:r>
              <w:t>2020</w:t>
            </w:r>
          </w:p>
        </w:tc>
        <w:tc>
          <w:tcPr>
            <w:tcW w:type="dxa" w:w="576"/>
          </w:tcPr>
          <w:p>
            <w:r>
              <w:t>3</w:t>
            </w:r>
          </w:p>
        </w:tc>
        <w:tc>
          <w:tcPr>
            <w:tcW w:type="dxa" w:w="1498"/>
          </w:tcPr>
          <w:p>
            <w:r>
              <w:t>2.79%</w:t>
            </w:r>
          </w:p>
        </w:tc>
        <w:tc>
          <w:tcPr>
            <w:tcW w:type="dxa" w:w="1498"/>
          </w:tcPr>
          <w:p>
            <w:r>
              <w:t>5.39%</w:t>
            </w:r>
          </w:p>
        </w:tc>
        <w:tc>
          <w:tcPr>
            <w:tcW w:type="dxa" w:w="1498"/>
          </w:tcPr>
          <w:p>
            <w:r>
              <w:t>n/a</w:t>
            </w:r>
          </w:p>
        </w:tc>
        <w:tc>
          <w:tcPr>
            <w:tcW w:type="dxa" w:w="1498"/>
          </w:tcPr>
          <w:p>
            <w:r>
              <w:t>4.29%</w:t>
            </w:r>
          </w:p>
        </w:tc>
        <w:tc>
          <w:tcPr>
            <w:tcW w:type="dxa" w:w="1498"/>
          </w:tcPr>
          <w:p>
            <w:r>
              <w:t>n/a</w:t>
            </w:r>
          </w:p>
        </w:tc>
      </w:tr>
      <w:tr>
        <w:trPr>
          <w:cantSplit/>
        </w:trPr>
        <w:tc>
          <w:tcPr>
            <w:tcW w:type="dxa" w:w="1296"/>
          </w:tcPr>
          <w:p>
            <w:r>
              <w:t>2021</w:t>
            </w:r>
          </w:p>
        </w:tc>
        <w:tc>
          <w:tcPr>
            <w:tcW w:type="dxa" w:w="576"/>
          </w:tcPr>
          <w:p>
            <w:r>
              <w:t>5</w:t>
            </w:r>
          </w:p>
        </w:tc>
        <w:tc>
          <w:tcPr>
            <w:tcW w:type="dxa" w:w="1498"/>
          </w:tcPr>
          <w:p>
            <w:r>
              <w:t>9.21%</w:t>
            </w:r>
          </w:p>
        </w:tc>
        <w:tc>
          <w:tcPr>
            <w:tcW w:type="dxa" w:w="1498"/>
          </w:tcPr>
          <w:p>
            <w:r>
              <w:t>10.38%</w:t>
            </w:r>
          </w:p>
        </w:tc>
        <w:tc>
          <w:tcPr>
            <w:tcW w:type="dxa" w:w="1498"/>
          </w:tcPr>
          <w:p>
            <w:r>
              <w:t>12.6%</w:t>
            </w:r>
          </w:p>
        </w:tc>
        <w:tc>
          <w:tcPr>
            <w:tcW w:type="dxa" w:w="1498"/>
          </w:tcPr>
          <w:p>
            <w:r>
              <w:t>11.29%</w:t>
            </w:r>
          </w:p>
        </w:tc>
        <w:tc>
          <w:tcPr>
            <w:tcW w:type="dxa" w:w="1498"/>
          </w:tcPr>
          <w:p>
            <w:r>
              <w:t>4.3%</w:t>
            </w:r>
          </w:p>
        </w:tc>
      </w:tr>
      <w:tr>
        <w:trPr>
          <w:cantSplit/>
        </w:trPr>
        <w:tc>
          <w:tcPr>
            <w:tcW w:type="dxa" w:w="1296"/>
          </w:tcPr>
          <w:p>
            <w:r>
              <w:t>2022</w:t>
            </w:r>
          </w:p>
        </w:tc>
        <w:tc>
          <w:tcPr>
            <w:tcW w:type="dxa" w:w="576"/>
          </w:tcPr>
          <w:p>
            <w:r>
              <w:t>5</w:t>
            </w:r>
          </w:p>
        </w:tc>
        <w:tc>
          <w:tcPr>
            <w:tcW w:type="dxa" w:w="1498"/>
          </w:tcPr>
          <w:p>
            <w:r>
              <w:t>-2.85%</w:t>
            </w:r>
          </w:p>
        </w:tc>
        <w:tc>
          <w:tcPr>
            <w:tcW w:type="dxa" w:w="1498"/>
          </w:tcPr>
          <w:p>
            <w:r>
              <w:t>2.05%</w:t>
            </w:r>
          </w:p>
        </w:tc>
        <w:tc>
          <w:tcPr>
            <w:tcW w:type="dxa" w:w="1498"/>
          </w:tcPr>
          <w:p>
            <w:r>
              <w:t>3.6%</w:t>
            </w:r>
          </w:p>
        </w:tc>
        <w:tc>
          <w:tcPr>
            <w:tcW w:type="dxa" w:w="1498"/>
          </w:tcPr>
          <w:p>
            <w:r>
              <w:t>-15.36%</w:t>
            </w:r>
          </w:p>
        </w:tc>
        <w:tc>
          <w:tcPr>
            <w:tcW w:type="dxa" w:w="1498"/>
          </w:tcPr>
          <w:p>
            <w:r>
              <w:t>5.2%</w:t>
            </w:r>
          </w:p>
        </w:tc>
      </w:tr>
      <w:tr>
        <w:trPr>
          <w:cantSplit/>
        </w:trPr>
        <w:tc>
          <w:tcPr>
            <w:tcW w:type="dxa" w:w="1296"/>
          </w:tcPr>
          <w:p>
            <w:r>
              <w:t>2023</w:t>
            </w:r>
          </w:p>
        </w:tc>
        <w:tc>
          <w:tcPr>
            <w:tcW w:type="dxa" w:w="576"/>
          </w:tcPr>
          <w:p>
            <w:r>
              <w:t>5</w:t>
            </w:r>
          </w:p>
        </w:tc>
        <w:tc>
          <w:tcPr>
            <w:tcW w:type="dxa" w:w="1498"/>
          </w:tcPr>
          <w:p>
            <w:r>
              <w:t>12.99%</w:t>
            </w:r>
          </w:p>
        </w:tc>
        <w:tc>
          <w:tcPr>
            <w:tcW w:type="dxa" w:w="1498"/>
          </w:tcPr>
          <w:p>
            <w:r>
              <w:t>12.66%</w:t>
            </w:r>
          </w:p>
        </w:tc>
        <w:tc>
          <w:tcPr>
            <w:tcW w:type="dxa" w:w="1498"/>
          </w:tcPr>
          <w:p>
            <w:r>
              <w:t>14.4%</w:t>
            </w:r>
          </w:p>
        </w:tc>
        <w:tc>
          <w:tcPr>
            <w:tcW w:type="dxa" w:w="1498"/>
          </w:tcPr>
          <w:p>
            <w:r>
              <w:t>9.25%</w:t>
            </w:r>
          </w:p>
        </w:tc>
        <w:tc>
          <w:tcPr>
            <w:tcW w:type="dxa" w:w="1498"/>
          </w:tcPr>
          <w:p>
            <w:r>
              <w:t>13.5%</w:t>
            </w:r>
          </w:p>
        </w:tc>
      </w:tr>
      <w:tr>
        <w:trPr>
          <w:cantSplit/>
        </w:trPr>
        <w:tc>
          <w:tcPr>
            <w:tcW w:type="dxa" w:w="1296"/>
          </w:tcPr>
          <w:p>
            <w:r>
              <w:t>2024</w:t>
            </w:r>
          </w:p>
        </w:tc>
        <w:tc>
          <w:tcPr>
            <w:tcW w:type="dxa" w:w="576"/>
          </w:tcPr>
          <w:p>
            <w:r>
              <w:t>5</w:t>
            </w:r>
          </w:p>
        </w:tc>
        <w:tc>
          <w:tcPr>
            <w:tcW w:type="dxa" w:w="1498"/>
          </w:tcPr>
          <w:p>
            <w:r>
              <w:t>10.39%</w:t>
            </w:r>
          </w:p>
        </w:tc>
        <w:tc>
          <w:tcPr>
            <w:tcW w:type="dxa" w:w="1498"/>
          </w:tcPr>
          <w:p>
            <w:r>
              <w:t>12.62%</w:t>
            </w:r>
          </w:p>
        </w:tc>
        <w:tc>
          <w:tcPr>
            <w:tcW w:type="dxa" w:w="1498"/>
          </w:tcPr>
          <w:p>
            <w:r>
              <w:t>11%</w:t>
            </w:r>
          </w:p>
        </w:tc>
        <w:tc>
          <w:tcPr>
            <w:tcW w:type="dxa" w:w="1498"/>
          </w:tcPr>
          <w:p>
            <w:r>
              <w:t>15.27%</w:t>
            </w:r>
          </w:p>
        </w:tc>
        <w:tc>
          <w:tcPr>
            <w:tcW w:type="dxa" w:w="1498"/>
          </w:tcPr>
          <w:p>
            <w:r>
              <w:t>11.5%</w:t>
            </w:r>
          </w:p>
        </w:tc>
      </w:tr>
      <w:tr>
        <w:trPr>
          <w:cantSplit/>
        </w:trPr>
        <w:tc>
          <w:tcPr>
            <w:tcW w:type="dxa" w:w="1296"/>
          </w:tcPr>
          <w:p>
            <w:r>
              <w:t>2025</w:t>
            </w:r>
          </w:p>
        </w:tc>
        <w:tc>
          <w:tcPr>
            <w:tcW w:type="dxa" w:w="576"/>
          </w:tcPr>
          <w:p>
            <w:r>
              <w:t>5</w:t>
            </w:r>
          </w:p>
        </w:tc>
        <w:tc>
          <w:tcPr>
            <w:tcW w:type="dxa" w:w="1498"/>
          </w:tcPr>
          <w:p>
            <w:r>
              <w:t>7.69%</w:t>
            </w:r>
          </w:p>
        </w:tc>
        <w:tc>
          <w:tcPr>
            <w:tcW w:type="dxa" w:w="1498"/>
          </w:tcPr>
          <w:p>
            <w:r>
              <w:t>8.92%</w:t>
            </w:r>
          </w:p>
        </w:tc>
        <w:tc>
          <w:tcPr>
            <w:tcW w:type="dxa" w:w="1498"/>
          </w:tcPr>
          <w:p>
            <w:r>
              <w:t>8%</w:t>
            </w:r>
          </w:p>
        </w:tc>
        <w:tc>
          <w:tcPr>
            <w:tcW w:type="dxa" w:w="1498"/>
          </w:tcPr>
          <w:p>
            <w:r>
              <w:t>12.2%</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$5.2B</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$1.0B per year (20% of approx. $5.2B net assets, cell 3.6). The plan's demand at the filed rate is $8.5M per year, 0.83%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Fund capacity in dollars: 20% of approx. $5.2B net assets (cell 3.6) is $1.0B per year. At a 5% allocation ($79.3M) the plan's demand at the filed rate is $8.5M per year, 0.83%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10.8% and the stressed demand 18.2% of the position per year both stay within the annual wrapper capacity 20% (binding cap 5% per quarter on outstanding shares (3.1), quarterly offers (3.1), program active as of 2025-12-31 (3.1), no proration identified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2024-05-01 to 2025-04-30).</w:t>
      </w:r>
    </w:p>
    <w:p>
      <w:pPr>
        <w:pStyle w:val="Heading1"/>
        <w:keepNext/>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1, extracted-unverified 22, verified 0, computed 12, partial 11, fetched 0, n/a 9, pending 0. 35 of 46 resolved: 23 evidenced, 12 computed, 11 partial, 9 n/a, 0 verified by a person.</w:t>
      </w:r>
    </w:p>
    <w:p>
      <w:r>
        <w:t>Of the 35 resolved cells (structured, extracted-unverified, verified and computed), 35 carry a source document, 35 a section, 23 a verbatim quote (computed cells carry their computation and inputs instead of a quote) and 35 an extractor. 11 cells are partial or fetched and are not counted as resolved. No cell is verified: no cell has been independently re-checked by a person, and the verifier column is empty on every row. Cells marked extracted-unverified were extracted by an agent from the cited document. Cells marked structured come directly from machine-readable regulatory datasets with the dataset cited.</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N-CEN</w:t>
            </w:r>
          </w:p>
        </w:tc>
        <w:tc>
          <w:tcPr>
            <w:tcW w:type="dxa" w:w="4896"/>
          </w:tcPr>
          <w:p>
            <w:r>
              <w:t>accession 0001049169-26-000801</w:t>
            </w:r>
          </w:p>
          <w:p>
            <w:r>
              <w:t>https://www.sec.gov/Archives/edgar/data/1678124/000104916926000801/</w:t>
            </w:r>
          </w:p>
        </w:tc>
        <w:tc>
          <w:tcPr>
            <w:tcW w:type="dxa" w:w="2592"/>
          </w:tcPr>
          <w:p>
            <w:r>
              <w:t>4.6</w:t>
            </w:r>
          </w:p>
        </w:tc>
      </w:tr>
      <w:tr>
        <w:trPr>
          <w:cantSplit/>
        </w:trPr>
        <w:tc>
          <w:tcPr>
            <w:tcW w:type="dxa" w:w="1872"/>
          </w:tcPr>
          <w:p>
            <w:r>
              <w:t>N-CSR 2026-03-06</w:t>
            </w:r>
          </w:p>
        </w:tc>
        <w:tc>
          <w:tcPr>
            <w:tcW w:type="dxa" w:w="4896"/>
          </w:tcPr>
          <w:p>
            <w:r>
              <w:t>accession 0001104659-26-024607</w:t>
            </w:r>
          </w:p>
          <w:p>
            <w:r>
              <w:t>https://www.sec.gov/Archives/edgar/data/1678124/000110465926024607/tm261643d1_ncsr.htm</w:t>
            </w:r>
          </w:p>
        </w:tc>
        <w:tc>
          <w:tcPr>
            <w:tcW w:type="dxa" w:w="2592"/>
          </w:tcPr>
          <w:p>
            <w:r>
              <w:t>1.1, 1.2, 1.3, 1.4, 1.5, 1.6, 1.9, 1.11, 2.1, 2.2, 2.3, 2.6, 2.10, 3.3, 3.4, 3.6, 4.2, 4.3, 4.4, 4.5, 5.1, 5.2, 6.1, 6.2, 6.3, 6.4, 6.5</w:t>
            </w:r>
          </w:p>
        </w:tc>
      </w:tr>
      <w:tr>
        <w:trPr>
          <w:cantSplit/>
        </w:trPr>
        <w:tc>
          <w:tcPr>
            <w:tcW w:type="dxa" w:w="1872"/>
          </w:tcPr>
          <w:p>
            <w:r>
              <w:t>486BPOS 2026-04-29</w:t>
            </w:r>
          </w:p>
        </w:tc>
        <w:tc>
          <w:tcPr>
            <w:tcW w:type="dxa" w:w="4896"/>
          </w:tcPr>
          <w:p>
            <w:r>
              <w:t>accession 0001104659-26-051754</w:t>
            </w:r>
          </w:p>
          <w:p>
            <w:r>
              <w:t>https://www.sec.gov/Archives/edgar/data/1678124/000110465926051754/tm2611264d1_486bpos.htm</w:t>
            </w:r>
          </w:p>
        </w:tc>
        <w:tc>
          <w:tcPr>
            <w:tcW w:type="dxa" w:w="2592"/>
          </w:tcPr>
          <w:p>
            <w:r>
              <w:t>2.1, 2.2, 2.3, 2.6, 3.1, 3.2, 3.6, 4.1, 6.1, 6.2, 6.3, 6.4, 6.5, 6.7</w:t>
            </w:r>
          </w:p>
        </w:tc>
      </w:tr>
      <w:tr>
        <w:trPr>
          <w:cantSplit/>
        </w:trPr>
        <w:tc>
          <w:tcPr>
            <w:tcW w:type="dxa" w:w="1872"/>
          </w:tcPr>
          <w:p>
            <w:r>
              <w:t>N-23C3A 2026-06-05</w:t>
            </w:r>
          </w:p>
        </w:tc>
        <w:tc>
          <w:tcPr>
            <w:tcW w:type="dxa" w:w="4896"/>
          </w:tcPr>
          <w:p>
            <w:r>
              <w:t>accession 0001104659-26-070762</w:t>
            </w:r>
          </w:p>
          <w:p>
            <w:r>
              <w:t>https://www.sec.gov/Archives/edgar/data/1678124/000110465926070762/tm2616799d1_n23c3a.htm</w:t>
            </w:r>
          </w:p>
        </w:tc>
        <w:tc>
          <w:tcPr>
            <w:tcW w:type="dxa" w:w="2592"/>
          </w:tcPr>
          <w:p>
            <w:r>
              <w:t>1.1, 2.7, 3.2</w:t>
            </w:r>
          </w:p>
        </w:tc>
      </w:tr>
    </w:tbl>
    <w:p>
      <w:pPr>
        <w:keepNext/>
      </w:pPr>
      <w:r>
        <w:t>Cells whose reference does not resolve to a manifest row:</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CION Ares Diversified Credit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CION Ares Diversified Credit Fund for US casual-dining restaurant group 401(k) plan (~$1.6B, FL)</dc:title>
  <dc:subject>Fiduciary Duties in Selecting Designated Investment Alternatives, 91 FR 16088 (Mar. 31, 2026), RIN 1210-AC38, proposed 29 CFR 2550.404a-6, paragraphs (g) to (l)</dc:subject>
  <dc:creator>Tark</dc:creator>
  <cp:keywords>cion_ares,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