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Investment Selection Record</w:t>
      </w:r>
    </w:p>
    <w:p>
      <w:r>
        <w:rPr>
          <w:b/>
        </w:rPr>
        <w:t>Plan: US media/technology company 401(k) plan (~$570M, New York)</w:t>
      </w:r>
      <w:r>
        <w:t xml:space="preserve">. Product: Blackstone Private Credit Fund (non-traded BDC ('34 Act reporting, continuous offering), CIK 1803498). </w:t>
      </w:r>
      <w:r>
        <w:t>Date: 2026-09-04. Status: DRAFT until the committee signs page one. Cells marked extracted-unverified pend independent verification.</w:t>
      </w:r>
    </w:p>
    <w:p>
      <w:pPr>
        <w:pStyle w:val="Heading1"/>
        <w:keepNext/>
      </w:pPr>
      <w:r>
        <w:t>Decision summary</w:t>
      </w:r>
    </w:p>
    <w:p>
      <w:r>
        <w:t>Structural liquidity verdict: CONDITIONAL-WEAK (dealing terms on record, plan-independent). Scenario verdict under US media/technology company 401(k) plan (~$570M, New York) (ILLUSTRATIVE): CONDITIONAL-WEAK.</w:t>
      </w:r>
    </w:p>
    <w:p>
      <w:r>
        <w:t>Meaningful benchmark (paragraph (k)): Cliffwater Direct Lending Index (CDLI) at 7 of 10, cited, series not in the record. Meaningful benchmark by descriptor. No comparison until its series is held. Peer comparison (paragraphs (g) and (h)): relative wealth ratio 1.0986 vs the equal-weight peer composite over 2021 to 2025 (n=4), not a benchmark and not a PME.</w:t>
      </w:r>
    </w:p>
    <w:p>
      <w:r>
        <w:t>Reference comparison, not the meaningful benchmark: Senior loan investable proxy (BKLN, for Morningstar LSTA class), KS-PME 1.2378, Direct Alpha 4.38%/yr over 2021-01-07 to 2025-12-31.</w:t>
      </w:r>
    </w:p>
    <w:p>
      <w:r>
        <w:t>Evidence coverage: 37 of 42 resolved: 26 evidenced, 11 computed, 5 partial, 13 n/a, 0 verified by a person. Verified by a person: 0. Advisor-stated inputs for this plan: 0 of 6.</w:t>
      </w:r>
    </w:p>
    <w:p>
      <w:pPr>
        <w:pStyle w:val="Heading2"/>
        <w:keepNext/>
      </w:pPr>
      <w:r>
        <w:t>Recommendation</w:t>
      </w:r>
    </w:p>
    <w:p>
      <w:pPr>
        <w:keepNext/>
      </w:pPr>
      <w:r>
        <w:t>Flags raised by the record (each restates a recorded value or verdict already in the record, with its source):</w:t>
      </w:r>
    </w:p>
    <w:p>
      <w:pPr>
        <w:pStyle w:val="ListBullet"/>
      </w:pPr>
      <w:r>
        <w:t>Benchmark: the meaningful benchmark carries no computed comparison (Meaningful benchmark by descriptor. No comparison until its series is held) (benchmark selection)</w:t>
      </w:r>
    </w:p>
    <w:p>
      <w:pPr>
        <w:pStyle w:val="ListBullet"/>
      </w:pPr>
      <w:r>
        <w:t>Liquidity: gating precedent, repurchases prorated under stress (cell 3.3)</w:t>
      </w:r>
    </w:p>
    <w:p>
      <w:pPr>
        <w:pStyle w:val="ListBullet"/>
      </w:pPr>
      <w:r>
        <w:t>Liquidity: ILLUSTRATIVE scenario verdict conditional-weak under this plan (the filed outflow proxy or the stressed demand above wrapper capacity)</w:t>
      </w:r>
    </w:p>
    <w:p>
      <w:r>
        <w:t>This record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(not applicable: CIT only), 3.5 TDF/CIT liquidity sleeve (not applicable: CIT only), 4.9 CIT unit valuation (not applicable: CIT only).</w:t>
      </w:r>
    </w:p>
    <w:p>
      <w:pPr>
        <w:pStyle w:val="Heading2"/>
        <w:keepNext/>
      </w:pPr>
      <w:r>
        <w:t>Committee action and signatures</w:t>
      </w:r>
    </w:p>
    <w:p>
      <w:pPr>
        <w:keepNext/>
      </w:pPr>
      <w:r>
        <w:t>The committee records its action on this product for this plan and signs below. A signature adopts the record as read, it does not verify a cell: verification is the separate signed act on the evidence ledger.</w:t>
      </w:r>
    </w:p>
    <w:tbl>
      <w:tblPr>
        <w:tblStyle w:val="TableGrid"/>
        <w:tblW w:type="dxa" w:w="9360"/>
        <w:tblLayout w:type="fixed"/>
        <w:tblLook w:firstColumn="1" w:firstRow="1" w:lastColumn="0" w:lastRow="0" w:noHBand="0" w:noVBand="1" w:val="04A0"/>
      </w:tblPr>
      <w:tblGrid>
        <w:gridCol w:w="2304"/>
        <w:gridCol w:w="3456"/>
        <w:gridCol w:w="2304"/>
        <w:gridCol w:w="1296"/>
      </w:tblGrid>
      <w:tr>
        <w:trPr>
          <w:tblHeader/>
          <w:cantSplit/>
        </w:trPr>
        <w:tc>
          <w:tcPr>
            <w:tcW w:type="dxa" w:w="2304"/>
          </w:tcPr>
          <w:p>
            <w:r>
              <w:t>Role</w:t>
            </w:r>
          </w:p>
        </w:tc>
        <w:tc>
          <w:tcPr>
            <w:tcW w:type="dxa" w:w="3456"/>
          </w:tcPr>
          <w:p>
            <w:r>
              <w:t>Name and title</w:t>
            </w:r>
          </w:p>
        </w:tc>
        <w:tc>
          <w:tcPr>
            <w:tcW w:type="dxa" w:w="2304"/>
          </w:tcPr>
          <w:p>
            <w:r>
              <w:t>Signature</w:t>
            </w:r>
          </w:p>
        </w:tc>
        <w:tc>
          <w:tcPr>
            <w:tcW w:type="dxa" w:w="1296"/>
          </w:tcPr>
          <w:p>
            <w:r>
              <w:t>Date</w:t>
            </w:r>
          </w:p>
        </w:tc>
      </w:tr>
      <w:tr>
        <w:trPr>
          <w:cantSplit/>
        </w:trPr>
        <w:tc>
          <w:tcPr>
            <w:tcW w:type="dxa" w:w="2304"/>
          </w:tcPr>
          <w:p>
            <w:r>
              <w:t>Committee action</w:t>
            </w:r>
          </w:p>
        </w:tc>
        <w:tc>
          <w:tcPr>
            <w:tcW w:type="dxa" w:w="1296"/>
            <w:gridSpan w:val="3"/>
          </w:tcPr>
          <w:p>
            <w:r>
              <w:t>Select    Decline    Defer    (mark one)</w:t>
            </w:r>
          </w:p>
        </w:tc>
      </w:tr>
      <w:tr>
        <w:trPr>
          <w:cantSplit/>
        </w:trPr>
        <w:tc>
          <w:tcPr>
            <w:tcW w:type="dxa" w:w="2304"/>
          </w:tcPr>
          <w:p>
            <w:r>
              <w:t>Adopting fiduciary</w:t>
            </w:r>
          </w:p>
        </w:tc>
        <w:tc>
          <w:tcPr>
            <w:tcW w:type="dxa" w:w="3456"/>
          </w:tcPr>
          <w:p/>
        </w:tc>
        <w:tc>
          <w:tcPr>
            <w:tcW w:type="dxa" w:w="2304"/>
          </w:tcPr>
          <w:p/>
        </w:tc>
        <w:tc>
          <w:tcPr>
            <w:tcW w:type="dxa" w:w="1296"/>
          </w:tcPr>
          <w:p/>
        </w:tc>
      </w:tr>
      <w:tr>
        <w:trPr>
          <w:cantSplit/>
        </w:trPr>
        <w:tc>
          <w:tcPr>
            <w:tcW w:type="dxa" w:w="2304"/>
          </w:tcPr>
          <w:p>
            <w:r>
              <w:t>Adviser</w:t>
            </w:r>
          </w:p>
        </w:tc>
        <w:tc>
          <w:tcPr>
            <w:tcW w:type="dxa" w:w="3456"/>
          </w:tcPr>
          <w:p/>
        </w:tc>
        <w:tc>
          <w:tcPr>
            <w:tcW w:type="dxa" w:w="2304"/>
          </w:tcPr>
          <w:p/>
        </w:tc>
        <w:tc>
          <w:tcPr>
            <w:tcW w:type="dxa" w:w="1296"/>
          </w:tcPr>
          <w:p/>
        </w:tc>
      </w:tr>
      <w:tr>
        <w:trPr>
          <w:cantSplit/>
        </w:trPr>
        <w:tc>
          <w:tcPr>
            <w:tcW w:type="dxa" w:w="2304"/>
          </w:tcPr>
          <w:p>
            <w:r>
              <w:t>Committee secretary</w:t>
            </w:r>
          </w:p>
        </w:tc>
        <w:tc>
          <w:tcPr>
            <w:tcW w:type="dxa" w:w="3456"/>
          </w:tcPr>
          <w:p/>
        </w:tc>
        <w:tc>
          <w:tcPr>
            <w:tcW w:type="dxa" w:w="2304"/>
          </w:tcPr>
          <w:p/>
        </w:tc>
        <w:tc>
          <w:tcPr>
            <w:tcW w:type="dxa" w:w="1296"/>
          </w:tcPr>
          <w:p/>
        </w:tc>
      </w:tr>
    </w:tbl>
    <w:p>
      <w:r>
        <w:t>Record as of 2026-09-04. Status: DRAFT until signed.</w:t>
      </w:r>
    </w:p>
    <w:p>
      <w:r>
        <w:fldChar w:fldCharType="begin"/>
      </w:r>
      <w:r>
        <w:instrText xml:space="preserve">TOC \o "1-2" \h \z \u</w:instrText>
      </w:r>
      <w:r>
        <w:fldChar w:fldCharType="separate"/>
      </w:r>
      <w:r>
        <w:t>Table of contents: updated when the document is opened in Word.</w:t>
      </w:r>
      <w:r>
        <w:fldChar w:fldCharType="end"/>
      </w:r>
    </w:p>
    <w:p>
      <w:pPr>
        <w:pStyle w:val="Heading1"/>
        <w:keepNext/>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record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record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the record. The rule paragraph under each letter follows verbatim. The full text of paragraphs (g) to (l), examples included, is Attachment A, one document shared by every record and named by its content hash, aef7a94680824e5574780e1f614702189d9dafcf1fde58558ff3ac782d3dcd5a.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keepNext/>
      </w:pPr>
      <w:r>
        <w:t>Six-factor findings</w:t>
      </w:r>
    </w:p>
    <w:p>
      <w:pPr>
        <w:keepNext/>
      </w:pPr>
      <w:r>
        <w:t>Per factor: one sentence generated from the facts on record (each clause names its cell), then the facts on record the computations read, then the complete first sentence of every evidenced cell with its status, then the cells marked not applicable with the reason. The full sourced text, quote and document of every cell is in the evidence ledger and on the Evaluation view.</w:t>
      </w:r>
    </w:p>
    <w:tbl>
      <w:tblPr>
        <w:tblStyle w:val="TableGrid"/>
        <w:tblW w:type="dxa" w:w="9360"/>
        <w:tblLayout w:type="fixed"/>
        <w:tblLook w:firstColumn="1" w:firstRow="1" w:lastColumn="0" w:lastRow="0" w:noHBand="0" w:noVBand="1" w:val="04A0"/>
      </w:tblPr>
      <w:tblGrid>
        <w:gridCol w:w="1728"/>
        <w:gridCol w:w="7632"/>
      </w:tblGrid>
      <w:tr>
        <w:trPr>
          <w:tblHeader/>
          <w:cantSplit/>
        </w:trPr>
        <w:tc>
          <w:tcPr>
            <w:tcW w:type="dxa" w:w="1728"/>
          </w:tcPr>
          <w:p>
            <w:r>
              <w:t>Factor</w:t>
            </w:r>
          </w:p>
        </w:tc>
        <w:tc>
          <w:tcPr>
            <w:tcW w:type="dxa" w:w="7632"/>
          </w:tcPr>
          <w:p>
            <w:r>
              <w:t>Findings (cell, status, first sentence)</w:t>
            </w:r>
          </w:p>
        </w:tc>
      </w:tr>
      <w:tr>
        <w:trPr>
          <w:cantSplit/>
        </w:trPr>
        <w:tc>
          <w:tcPr>
            <w:tcW w:type="dxa" w:w="1728"/>
          </w:tcPr>
          <w:p>
            <w:r>
              <w:t>1. Performance (g)</w:t>
            </w:r>
          </w:p>
        </w:tc>
        <w:tc>
          <w:tcPr>
            <w:tcW w:type="dxa" w:w="7632"/>
          </w:tcPr>
          <w:p>
            <w:r>
              <w:t>On performance (g), the record holds 5 years of history since 2021-01-07 (cell 1.11), a KS-PME of 1.2378 against BKLN (cell 1.8) and a relative wealth ratio of 1.0986 against the peer composite (cell 1.12).</w:t>
            </w:r>
          </w:p>
          <w:p>
            <w:r>
              <w:t>Facts on record: 1.8 KS-PME 1.24 vs BKLN (reference, not the benchmark). 1.11 inception 2021-01-07, 5 years. 1.12 peer relative wealth ratio 1.10, not a benchmark.</w:t>
            </w:r>
          </w:p>
          <w:p>
            <w:r>
              <w:t>1.1 Net total return series (extracted-unverified): Printed NAV-based net total return series, Class I: FY2021 12.6%, FY2022 3.6%, FY2023 14.4%, FY2024 11.0%, FY2025 8.0% (10-K Note 10), H1-2026 0.2% (10-Q).</w:t>
            </w:r>
          </w:p>
          <w:p>
            <w:r>
              <w:t>1.2 Trailing &amp; calendar-year returns (extracted-unverified): Calendar-year 'Total return based on NAV', Class I | Class S | Class D: FY2025 8.0% | 7.1% | 7.8%, FY2024 11.0% | 10.1% | 10.7%, FY2023 14.4% | 13.4% | 14.1%, FY2022 3.6% | 2.7% | 3.3%, FY2021 12.6% | 11.6% | 7.4% (Class D commenced 2021-05-01).</w:t>
            </w:r>
          </w:p>
          <w:p>
            <w:r>
              <w:t>1.3 Gross vs net spread (partial): PARTIAL: no gross-of-fees RETURN series is printed anywhere in the 10-K/10-Q (only net 'Total return based on NAV').</w:t>
            </w:r>
          </w:p>
          <w:p>
            <w:r>
              <w:t>1.4 Distribution history &amp; composition (extracted-unverified): Distributions declared every month since January 2021.</w:t>
            </w:r>
          </w:p>
          <w:p>
            <w:r>
              <w:t>1.5 Underlying sleeve/GP performance (partial): PARTIAL: direct-origination BDC, no underlying third-party GP funds exist.</w:t>
            </w:r>
          </w:p>
          <w:p>
            <w:r>
              <w:t>1.8 Risk-adjusted metrics (PME etc) (computed): Meaningful benchmark (paragraph (k)), Cliffwater Direct Lending Index (CDLI) scored 7 of 10.</w:t>
            </w:r>
          </w:p>
          <w:p>
            <w:r>
              <w:t>1.9 Stress-window performance (computed): Stress observation from the printed fiscal-year returns on record.</w:t>
            </w:r>
          </w:p>
          <w:p>
            <w:r>
              <w:t>1.11 Track record &amp; manager tenure (extracted-unverified): Track record starts at escrow break 2021-01-07 (trust formed 2020-02-11), about 5.0 years of operating history at the FY2025 10-K (filed 2026-03-13), Deloitte 'auditor since 2020'.</w:t>
            </w:r>
          </w:p>
          <w:p>
            <w:r>
              <w:t>1.12 Peer comparison (paragraphs (g) and (h)) (computed): Peer comparison (paragraphs (g) and (h)): private credit cohort, peers Cliffwater Corporate Lending Fund, PIMCO Flexible Credit Income Fund, CION Ares Diversified Credit Fund, Blue Owl Credit Income Corp., fund return basis filed calendar-year returns (December fiscal year).</w:t>
            </w:r>
          </w:p>
          <w:p>
            <w:r>
              <w:t>Not applicable: 1.6 sub-annual total-return series not free-public (annual highlights, quarterly NAV path excludes distributions). 1.7 monthly return series not free-public for this wrapper. 1.10 not exchange-listed.</w:t>
            </w:r>
          </w:p>
        </w:tc>
      </w:tr>
      <w:tr>
        <w:trPr>
          <w:cantSplit/>
        </w:trPr>
        <w:tc>
          <w:tcPr>
            <w:tcW w:type="dxa" w:w="1728"/>
          </w:tcPr>
          <w:p>
            <w:r>
              <w:t>2. Fees (h)</w:t>
            </w:r>
          </w:p>
        </w:tc>
        <w:tc>
          <w:tcPr>
            <w:tcW w:type="dxa" w:w="7632"/>
          </w:tcPr>
          <w:p>
            <w:r>
              <w:t>On fees and expenses (h), the management fee is 1.25% on net assets (cell 2.1), the incentive fee is 12.5% / 5% hurdle (cell 2.2), the expense ratio is 7.00% (including the interest and financing cost of BDC leverage (FY2025, Class I)) (cell 2.3) and the early repurchase fee is 2% &lt; 1 year (cell 2.7).</w:t>
            </w:r>
          </w:p>
          <w:p>
            <w:r>
              <w:t>Facts on record: 2.1 1.25% on net assets. 2.2 incentive fee: 12.5% / 5% hurdle. 2.3 7.00% expense ratio, including the interest and financing cost of BDC leverage (FY2025, Class I). 2.4 AFFE 0.02%. 2.7 early repurchase fee: 2% &lt; 1 year.</w:t>
            </w:r>
          </w:p>
          <w:p>
            <w:r>
              <w:t>2.1 Management fee (rate AND base) (extracted-unverified): RATE: 1.25% per annum.</w:t>
            </w:r>
          </w:p>
          <w:p>
            <w:r>
              <w:t>2.2 Incentive fee terms (extracted-unverified): TWO-PART incentive fee, components independent.</w:t>
            </w:r>
          </w:p>
          <w:p>
            <w:r>
              <w:t>2.3 Total expense ratio &amp; waivers (extracted-unverified): 10-K FY2025 financial highlights net expense ratio (of average net assets): 7.0% Class I / 7.9% Class S / 7.3% Class D, equal to total operating expense ratio (expense support/recoupment and fee waivers 0.0% all classes, ratios exclude expenses of underlying investment companies incl. JVs).</w:t>
            </w:r>
          </w:p>
          <w:p>
            <w:r>
              <w:t>2.4 AFFE (extracted-unverified): AFFE printed in the prospectus fee table (2026-05-01): 0.02% of net assets for each of Class I, Class S and Class D (line 'Acquired Fund Fees and Expenses (9)').</w:t>
            </w:r>
          </w:p>
          <w:p>
            <w:r>
              <w:t>2.6 Loads &amp; servicing fees (extracted-unverified): By class, upfront: no upfront selling commissions paid to the Fund on any class, intermediary-charged transaction/placement fees capped at 3.5% of NAV (Class S) and 1.5% of NAV (Class D), none permitted on Class I. Ongoing shareholder servicing and/or distribution fee (annualized, % of aggregate class NAV, paid monthly in arrears to Intermediary Manager Blackstone Securities Partners L.P., reallowed to brokers): Class I 0% / Class S 0.85% / Class D 0.25%.</w:t>
            </w:r>
          </w:p>
          <w:p>
            <w:r>
              <w:t>2.7 Early repurchase fee (extracted-unverified): 2% Early Repurchase Deduction: shares not outstanding at least one year are repurchased at 98% of NAV (one-year clock runs issuance date to subscription date following the repurchase valuation date).</w:t>
            </w:r>
          </w:p>
          <w:p>
            <w:r>
              <w:t>2.9 Fee peer percentile (computed): Cohort placement (private credit cohort): mgmt fee: 50th percentile of cohort (n=5), at the median of 1.25 | expense ratio (bases differ, see notes): 70th percentile of cohort (n=5), above the median of 3.76 | repurchase cap: 50th percentile of cohort (n=5), at the median of 5.</w:t>
            </w:r>
          </w:p>
          <w:p>
            <w:r>
              <w:t>Not applicable: 2.5 no underlying third-party GP funds, joint-venture partner economics are private LP-agreement terms with no fee/carry rates printed in the filings. 2.8 CIT only. 2.10 requires the plan committee's own value-for-fees determination, workflow output, not public product data (inputs live in cells 2.1-2.9).</w:t>
            </w:r>
          </w:p>
        </w:tc>
      </w:tr>
      <w:tr>
        <w:trPr>
          <w:cantSplit/>
        </w:trPr>
        <w:tc>
          <w:tcPr>
            <w:tcW w:type="dxa" w:w="1728"/>
          </w:tcPr>
          <w:p>
            <w:r>
              <w:t>3. Liquidity (i)</w:t>
            </w:r>
          </w:p>
        </w:tc>
        <w:tc>
          <w:tcPr>
            <w:tcW w:type="dxa" w:w="7632"/>
          </w:tcPr>
          <w:p>
            <w:r>
              <w:t>On liquidity (i), the wrapper deals by quarterly offers, 5% cap per quarter on NAV, the repurchase program is active as of 2025-12-31 (cell 3.1), requests have been prorated under stress before (cell 3.3), the plan's filed outflow proxy is 11.7% of the position per year (the plan record) and the structural verdict is conditional-weak with the scenario verdict conditional-weak under this plan (ILLUSTRATIVE, cell 3.9).</w:t>
            </w:r>
          </w:p>
          <w:p>
            <w:r>
              <w:t>Facts on record: 3.1 quarterly dealing, 5% cap per quarter on NAV. 3.3 gating history: yes, prorated under stress. 3.9 structural verdict conditional-weak, plan-independent.</w:t>
            </w:r>
          </w:p>
          <w:p>
            <w:r>
              <w:t>3.1 Wrapper liquidity terms (extracted-unverified): CADENCE: quarterly tender offers at Board discretion (no obligation to offer in any quarter, Board may amend/suspend).</w:t>
            </w:r>
          </w:p>
          <w:p>
            <w:r>
              <w:t>3.2 Repurchase mechanics (extracted-unverified): Mechanics: quarterly Rule 13e-4 tenders, commencement ~2 months and request deadline ~1 month before the quarter-end pricing date (FY2025 pattern: commence 2025-02-03, deadline 2025-03-03, priced at 2025-03-31 NAV), shareholders must submit notice of intent BEFORE the repurchase-date NAV is known but may withdraw before the repurchase date, price = quarter-end NAV (98% if &lt;1 year), oversubscription allocated pro rata by shares tendered without regard to class, repurchased shares retired, repurchases outside the program permitted under Rule 23c-1(a)(10).</w:t>
            </w:r>
          </w:p>
          <w:p>
            <w:r>
              <w:t>3.3 Repurchase history (extracted-unverified): Completed quarterly tenders printed for every quarter 2023-2026H1.</w:t>
            </w:r>
          </w:p>
          <w:p>
            <w:r>
              <w:t>3.4 Portfolio liquidity profile (extracted-unverified): Illiquid private-credit book: Level 3 = $75.0B of $82.2B total investments (91.3% incl. $1.79B NAV-measured JVs) at 2025-12-31, 89.2% first lien private loans, unfunded commitments $13.4B principal (delayed draws/revolvers).</w:t>
            </w:r>
          </w:p>
          <w:p>
            <w:r>
              <w:t>3.6 Fund leverage &amp; facilities (extracted-unverified): Core leverage: 1940-Act 150% minimum asset coverage election (Section 61(a)(2), sole-shareholder approval 2020-08-26, up to 2:1 debt-to-equity).</w:t>
            </w:r>
          </w:p>
          <w:p>
            <w:r>
              <w:t>3.7 Plan participant liquidity demand (computed, this plan): Plan-side demand profile for this plan (Form 5500, plan year 2024-01-01 to 2024-12-31): 1,847 separated participants with balances = 36.1% of 5,120 accounts (the near-term liquidity tail), 3,281 active, 0 retirees in pay status, filed outflow proxy 11.69% of beginning net assets (Schedule H totals).</w:t>
            </w:r>
          </w:p>
          <w:p>
            <w:r>
              <w:t>3.8 Redemption stress test (computed, this plan): ILLUSTRATIVE redemption stress test for this plan: filed outflow proxy 11.69% of the position, slider assumption 10.4%, stressed demand 20.5% vs 20% annual wrapper capacity, EXCEEDS annual wrapper capacity (20.5% vs 20%). Unmet demand rolls into later windows (gating-equivalent outcome). Source: this plan's liquidity match.</w:t>
            </w:r>
          </w:p>
          <w:p>
            <w:r>
              <w:t>3.9 Product-to-plan liquidity match (computed, this plan): Structural liquidity verdict CONDITIONAL-WEAK (dealing terms on record, plan-independent). Scenario verdict under this plan (ILLUSTRATIVE): CONDITIONAL-WEAK. Source: this plan's liquidity match.</w:t>
            </w:r>
          </w:p>
          <w:p>
            <w:r>
              <w:t>Not applicable: 3.5 CIT only.</w:t>
            </w:r>
          </w:p>
        </w:tc>
      </w:tr>
      <w:tr>
        <w:trPr>
          <w:cantSplit/>
        </w:trPr>
        <w:tc>
          <w:tcPr>
            <w:tcW w:type="dxa" w:w="1728"/>
          </w:tcPr>
          <w:p>
            <w:r>
              <w:t>4. Valuation (j)</w:t>
            </w:r>
          </w:p>
        </w:tc>
        <w:tc>
          <w:tcPr>
            <w:tcW w:type="dxa" w:w="7632"/>
          </w:tcPr>
          <w:p>
            <w:r>
              <w:t>On valuation (j), the holder transacts at NAV struck monthly (the registry descriptors) and the auditor is Deloitte &amp; Touche LLP (Big 4) (cell 4.5).</w:t>
            </w:r>
          </w:p>
          <w:p>
            <w:r>
              <w:t>Facts on record: 4.5 Deloitte &amp; Touche LLP (Big 4).</w:t>
            </w:r>
          </w:p>
          <w:p>
            <w:r>
              <w:t>4.1 Valuation policy &amp; NAV frequency (extracted-unverified): NAV FREQUENCY: monthly, NAV determined for each class as of the last day of each calendar month, shares issued at the prior month-end NAV, class NAV = class assets minus class liabilities over class shares.</w:t>
            </w:r>
          </w:p>
          <w:p>
            <w:r>
              <w:t>4.2 Fair-value hierarchy (L1/2/3) (extracted-unverified): Fair-value hierarchy at 2025-12-31 ($K): Level 1 $19,774 / Level 2 $5,364,336 / Level 3 $75,023,423 / subtotal $80,407,533, plus investments measured at NAV (JVs) $1,791,813 = total investments $82,199,346.</w:t>
            </w:r>
          </w:p>
          <w:p>
            <w:r>
              <w:t>4.3 Independent valuation agent (partial): PARTIAL: independent valuation firms ARE engaged (recommended by the Advisers, engaged at the direction of the Board) and prepare quarter-end valuation ranges for Level 3 investments other than de minimis positions, plus supporting methodology analyses, but no firm is NAMED anywhere in the 10-K.</w:t>
            </w:r>
          </w:p>
          <w:p>
            <w:r>
              <w:t>4.4 Methodology by asset type (extracted-unverified): By asset type (Note 5 unobservable-inputs table, 2025-12-31): performing debt, market-interest-rate YIELD ANALYSIS (contractual cash flows discounted at market yield): first lien $66,420.8M, discount rate 2.81%-32.47% (WA 9.06%), second lien $2,477.0M by same technique.</w:t>
            </w:r>
          </w:p>
          <w:p>
            <w:r>
              <w:t>4.5 Auditor &amp; opinion (extracted-unverified): Deloitte &amp; Touche LLP, New York, New York.</w:t>
            </w:r>
          </w:p>
          <w:p>
            <w:r>
              <w:t>4.6 NAV restatement history (extracted-unverified): None identified: searched stripped 10-K (FY2025, filed 2026-03-13), 10-Q (Q2-2026, filed 2026-08-12), prospectus 486BPOS (2026-05-01), SC TO-I (2026-08-04) and 424B3 Supplement No. 2 (2026-07-24) for 'restat' and 'error correction'.</w:t>
            </w:r>
          </w:p>
          <w:p>
            <w:r>
              <w:t>Not applicable: 4.7 no market price for a non-listed NAV-transaction wrapper. 4.8 quarterly NAV cadence, rho estimation not meaningful at n=9. 4.9 CIT only.</w:t>
            </w:r>
          </w:p>
        </w:tc>
      </w:tr>
      <w:tr>
        <w:trPr>
          <w:cantSplit/>
        </w:trPr>
        <w:tc>
          <w:tcPr>
            <w:tcW w:type="dxa" w:w="1728"/>
          </w:tcPr>
          <w:p>
            <w:r>
              <w:t>5. Performance Benchmarks (k)</w:t>
            </w:r>
          </w:p>
        </w:tc>
        <w:tc>
          <w:tcPr>
            <w:tcW w:type="dxa" w:w="7632"/>
          </w:tcPr>
          <w:p>
            <w:r>
              <w:t>On performance benchmarks (k), the meaningful benchmark is Cliffwater Direct Lending Index (CDLI), scored 7 of 10 (cell 5.3) and meaningful benchmark by descriptor. No comparison until its series is held.</w:t>
            </w:r>
          </w:p>
          <w:p>
            <w:r>
              <w:t>Facts on record: 5.3 CDLI selected by descriptor, 7 of 10.</w:t>
            </w:r>
          </w:p>
          <w:p>
            <w:r>
              <w:t>5.1 Self-declared benchmark (extracted-unverified): ABSENCE DOCUMENTED: no self-declared performance benchmark anywhere in the FY2025 10-K or the 2026-05-01 prospectus.</w:t>
            </w:r>
          </w:p>
          <w:p>
            <w:r>
              <w:t>5.3 Alt asset-class indices (computed): Candidates evaluated for the meaningful-benchmark slot, paragraph (k) (Tark benchmark rubric, 10 points, threshold 6 of 10, strategy gate below 2 of 3 ineligible, an index published by the fund's own adviser ineligible).</w:t>
            </w:r>
          </w:p>
          <w:p>
            <w:r>
              <w:t>5.4 Peer universe &amp; returns (computed): Peer cohort: private credit cohort (n=5: Cliffwater Corporate Lending Fund, Blackstone Private Credit Fund, PIMCO Flexible Credit Income Fund, CION Ares Diversified Credit Fund, Blue Owl Credit Income Corp.).</w:t>
            </w:r>
          </w:p>
          <w:p>
            <w:r>
              <w:t>5.5 PME / Direct Alpha inputs (computed): PME inputs (computed, public market series Senior loan investable proxy (BKLN, for Morningstar LSTA class), reference comparison, not the meaningful benchmark): window 2021-01-07 to 2025-12-31 (series comparison).</w:t>
            </w:r>
          </w:p>
          <w:p>
            <w:r>
              <w:t>5.6 Benchmark suitability memo (computed): Benchmark suitability (Tark benchmark rubric, 10 points).</w:t>
            </w:r>
          </w:p>
          <w:p>
            <w:r>
              <w:t>5.7 Case-law tracker (partial): Anderson v. Intel Corp. Investment Policy Committee, No. 25-498 (U.S.).</w:t>
            </w:r>
          </w:p>
        </w:tc>
      </w:tr>
      <w:tr>
        <w:trPr>
          <w:cantSplit/>
        </w:trPr>
        <w:tc>
          <w:tcPr>
            <w:tcW w:type="dxa" w:w="1728"/>
          </w:tcPr>
          <w:p>
            <w:r>
              <w:t>6. Complexity (l)</w:t>
            </w:r>
          </w:p>
        </w:tc>
        <w:tc>
          <w:tcPr>
            <w:tcW w:type="dxa" w:w="7632"/>
          </w:tcPr>
          <w:p>
            <w:r>
              <w:t>On complexity (l), the wrapper is non-traded BDC (cell 6.1), tax reporting is Form 1099 (cell 6.4) and cells 6.6 and 6.8 are advisor-completed under paragraph (l).</w:t>
            </w:r>
          </w:p>
          <w:p>
            <w:r>
              <w:t>Facts on record: 6.1 non-traded BDC. 6.4 Form 1099.</w:t>
            </w:r>
          </w:p>
          <w:p>
            <w:r>
              <w:t>6.1 Structure map (extracted-unverified): Delaware statutory trust formed 2020-02-11, non-diversified closed-end management investment company, elected BDC regulation under the 1940 Act, elected RIC treatment under Subchapter M (intends to qualify annually), perpetual-life non-traded BDC sold monthly at NAV in a continuous offering (broke escrow 2021-01-07).</w:t>
            </w:r>
          </w:p>
          <w:p>
            <w:r>
              <w:t>6.2 Strategy &amp; instrument complexity (extracted-unverified): STRATEGY: U.S. private-credit direct lending, predominantly first lien senior secured and unitranche loans (incl. first-out/last-out) to U.S. private companies, also second lien, unsecured, subordinated/mezzanine, structured credit and broadly syndicated loans, at least 70% U.S. private companies (BDC requirement), some European/other non-U.S., no emerging markets, objectives: current income and, to a lesser extent, long-term capital appreciation.</w:t>
            </w:r>
          </w:p>
          <w:p>
            <w:r>
              <w:t>6.3 Conflicts &amp; affiliated transactions (extracted-unverified): SEC co-investment exemptive relief in place: co-investment transactions with Blackstone, the Advisers and their affiliates subject to conditions (fair-and-equitable-opportunity policies required, Advisers may still allocate deals away).</w:t>
            </w:r>
          </w:p>
          <w:p>
            <w:r>
              <w:t>6.4 Tax reporting (1099 vs K-1) (extracted-unverified): Form 1099-DIV (or Form 1099-B if required) literally printed for U.S. shareholders, prospectus states 1099-DIV expected mailed by January 31 each year, Form 1042-S for non-U.S.</w:t>
            </w:r>
          </w:p>
          <w:p>
            <w:r>
              <w:t>6.5 Service-provider web (extracted-unverified): Custodian: State Street Bank and Trust Company (100 Summer Street, Boston, MA).</w:t>
            </w:r>
          </w:p>
          <w:p>
            <w:r>
              <w:t>Not applicable: 6.6 requires plan-specific recordkeeper/trading integration facts, workflow cell completed per plan engagement, not public product data. 6.7 requires plan-committee participant-communication assessment, workflow cell, product-side inputs already evidenced in 6.1/6.2/6.4. 6.8 workflow, not data.</w:t>
            </w:r>
          </w:p>
        </w:tc>
      </w:tr>
    </w:tbl>
    <w:p>
      <w:pPr>
        <w:pStyle w:val="Heading2"/>
        <w:keepNext/>
      </w:pPr>
      <w:r>
        <w:t>Fees and terms on record</w:t>
      </w:r>
    </w:p>
    <w:p>
      <w:pPr>
        <w:keepNext/>
      </w:pPr>
      <w:r>
        <w:t>Each line is the fact read from the cell, or the cell's status word when none is on record. Full text and provenance are in the evidence ledger.</w:t>
      </w:r>
    </w:p>
    <w:tbl>
      <w:tblPr>
        <w:tblStyle w:val="TableGrid"/>
        <w:tblW w:type="dxa" w:w="9360"/>
        <w:tblLayout w:type="fixed"/>
        <w:tblLook w:firstColumn="1" w:firstRow="1" w:lastColumn="0" w:lastRow="0" w:noHBand="0" w:noVBand="1" w:val="04A0"/>
      </w:tblPr>
      <w:tblGrid>
        <w:gridCol w:w="2880"/>
        <w:gridCol w:w="3600"/>
        <w:gridCol w:w="2880"/>
      </w:tblGrid>
      <w:tr>
        <w:trPr>
          <w:tblHeader/>
          <w:cantSplit/>
        </w:trPr>
        <w:tc>
          <w:tcPr>
            <w:tcW w:type="dxa" w:w="2880"/>
          </w:tcPr>
          <w:p>
            <w:r>
              <w:t>Cell</w:t>
            </w:r>
          </w:p>
        </w:tc>
        <w:tc>
          <w:tcPr>
            <w:tcW w:type="dxa" w:w="3600"/>
          </w:tcPr>
          <w:p>
            <w:r>
              <w:t>Headline</w:t>
            </w:r>
          </w:p>
        </w:tc>
        <w:tc>
          <w:tcPr>
            <w:tcW w:type="dxa" w:w="2880"/>
          </w:tcPr>
          <w:p>
            <w:r>
              <w:t>Status</w:t>
            </w:r>
          </w:p>
        </w:tc>
      </w:tr>
      <w:tr>
        <w:trPr>
          <w:cantSplit/>
        </w:trPr>
        <w:tc>
          <w:tcPr>
            <w:tcW w:type="dxa" w:w="2880"/>
          </w:tcPr>
          <w:p>
            <w:r>
              <w:t>2.1 Management fee (rate AND base)</w:t>
            </w:r>
          </w:p>
        </w:tc>
        <w:tc>
          <w:tcPr>
            <w:tcW w:type="dxa" w:w="3600"/>
          </w:tcPr>
          <w:p>
            <w:r>
              <w:t>1.25% on net assets</w:t>
            </w:r>
          </w:p>
        </w:tc>
        <w:tc>
          <w:tcPr>
            <w:tcW w:type="dxa" w:w="2880"/>
          </w:tcPr>
          <w:p>
            <w:r>
              <w:t>extracted-unverified</w:t>
            </w:r>
          </w:p>
        </w:tc>
      </w:tr>
      <w:tr>
        <w:trPr>
          <w:cantSplit/>
        </w:trPr>
        <w:tc>
          <w:tcPr>
            <w:tcW w:type="dxa" w:w="2880"/>
          </w:tcPr>
          <w:p>
            <w:r>
              <w:t>2.2 Incentive fee terms</w:t>
            </w:r>
          </w:p>
        </w:tc>
        <w:tc>
          <w:tcPr>
            <w:tcW w:type="dxa" w:w="3600"/>
          </w:tcPr>
          <w:p>
            <w:r>
              <w:t>incentive fee: 12.5% / 5% hurdle</w:t>
            </w:r>
          </w:p>
        </w:tc>
        <w:tc>
          <w:tcPr>
            <w:tcW w:type="dxa" w:w="2880"/>
          </w:tcPr>
          <w:p>
            <w:r>
              <w:t>extracted-unverified</w:t>
            </w:r>
          </w:p>
        </w:tc>
      </w:tr>
      <w:tr>
        <w:trPr>
          <w:cantSplit/>
        </w:trPr>
        <w:tc>
          <w:tcPr>
            <w:tcW w:type="dxa" w:w="2880"/>
          </w:tcPr>
          <w:p>
            <w:r>
              <w:t>2.3 Total expense ratio &amp; waivers</w:t>
            </w:r>
          </w:p>
        </w:tc>
        <w:tc>
          <w:tcPr>
            <w:tcW w:type="dxa" w:w="3600"/>
          </w:tcPr>
          <w:p>
            <w:r>
              <w:t>7.00% expense ratio, including the interest and financing cost of BDC leverage (FY2025, Class I)</w:t>
            </w:r>
          </w:p>
        </w:tc>
        <w:tc>
          <w:tcPr>
            <w:tcW w:type="dxa" w:w="2880"/>
          </w:tcPr>
          <w:p>
            <w:r>
              <w:t>extracted-unverified</w:t>
            </w:r>
          </w:p>
        </w:tc>
      </w:tr>
      <w:tr>
        <w:trPr>
          <w:cantSplit/>
        </w:trPr>
        <w:tc>
          <w:tcPr>
            <w:tcW w:type="dxa" w:w="2880"/>
          </w:tcPr>
          <w:p>
            <w:r>
              <w:t>2.4 AFFE</w:t>
            </w:r>
          </w:p>
        </w:tc>
        <w:tc>
          <w:tcPr>
            <w:tcW w:type="dxa" w:w="3600"/>
          </w:tcPr>
          <w:p>
            <w:r>
              <w:t>AFFE 0.02%</w:t>
            </w:r>
          </w:p>
        </w:tc>
        <w:tc>
          <w:tcPr>
            <w:tcW w:type="dxa" w:w="2880"/>
          </w:tcPr>
          <w:p>
            <w:r>
              <w:t>extracted-unverified</w:t>
            </w:r>
          </w:p>
        </w:tc>
      </w:tr>
      <w:tr>
        <w:trPr>
          <w:cantSplit/>
        </w:trPr>
        <w:tc>
          <w:tcPr>
            <w:tcW w:type="dxa" w:w="2880"/>
          </w:tcPr>
          <w:p>
            <w:r>
              <w:t>2.6 Loads &amp; servicing fees</w:t>
            </w:r>
          </w:p>
        </w:tc>
        <w:tc>
          <w:tcPr>
            <w:tcW w:type="dxa" w:w="3600"/>
          </w:tcPr>
          <w:p>
            <w:r>
              <w:t>no fact on record for this cell</w:t>
            </w:r>
          </w:p>
        </w:tc>
        <w:tc>
          <w:tcPr>
            <w:tcW w:type="dxa" w:w="2880"/>
          </w:tcPr>
          <w:p>
            <w:r>
              <w:t>extracted-unverified</w:t>
            </w:r>
          </w:p>
        </w:tc>
      </w:tr>
      <w:tr>
        <w:trPr>
          <w:cantSplit/>
        </w:trPr>
        <w:tc>
          <w:tcPr>
            <w:tcW w:type="dxa" w:w="2880"/>
          </w:tcPr>
          <w:p>
            <w:r>
              <w:t>2.7 Early repurchase fee</w:t>
            </w:r>
          </w:p>
        </w:tc>
        <w:tc>
          <w:tcPr>
            <w:tcW w:type="dxa" w:w="3600"/>
          </w:tcPr>
          <w:p>
            <w:r>
              <w:t>early repurchase fee: 2% &lt; 1 year</w:t>
            </w:r>
          </w:p>
        </w:tc>
        <w:tc>
          <w:tcPr>
            <w:tcW w:type="dxa" w:w="2880"/>
          </w:tcPr>
          <w:p>
            <w:r>
              <w:t>extracted-unverified</w:t>
            </w:r>
          </w:p>
        </w:tc>
      </w:tr>
      <w:tr>
        <w:trPr>
          <w:cantSplit/>
        </w:trPr>
        <w:tc>
          <w:tcPr>
            <w:tcW w:type="dxa" w:w="2880"/>
          </w:tcPr>
          <w:p>
            <w:r>
              <w:t>6.4 Tax reporting (1099 vs K-1)</w:t>
            </w:r>
          </w:p>
        </w:tc>
        <w:tc>
          <w:tcPr>
            <w:tcW w:type="dxa" w:w="3600"/>
          </w:tcPr>
          <w:p>
            <w:r>
              <w:t>Form 1099</w:t>
            </w:r>
          </w:p>
        </w:tc>
        <w:tc>
          <w:tcPr>
            <w:tcW w:type="dxa" w:w="2880"/>
          </w:tcPr>
          <w:p>
            <w:r>
              <w:t>extracted-unverified</w:t>
            </w:r>
          </w:p>
        </w:tc>
      </w:tr>
    </w:tbl>
    <w:p>
      <w:pPr>
        <w:pStyle w:val="Heading1"/>
        <w:keepNext/>
      </w:pPr>
      <w:r>
        <w:t>Benchmark selection and justification</w:t>
      </w:r>
    </w:p>
    <w:p>
      <w:r>
        <w:t>Return basis for every comparison in this section: filed calendar-year returns (December fiscal year).</w:t>
      </w:r>
    </w:p>
    <w:p>
      <w:pPr>
        <w:pStyle w:val="Heading2"/>
        <w:keepNext/>
      </w:pPr>
      <w:r>
        <w:t>Ledger: every candidate and its outcome</w:t>
      </w:r>
    </w:p>
    <w:p>
      <w:pPr>
        <w:keepNext/>
      </w:pPr>
      <w:r>
        <w:t>Tark benchmark rubric, 10 points, threshold 6 of 10, strategy gate 2 of 3, affiliated providers ineligible. Max attainable by an eligible candidate on held data 7 of 10.</w:t>
      </w:r>
    </w:p>
    <w:tbl>
      <w:tblPr>
        <w:tblStyle w:val="TableGrid"/>
        <w:tblW w:type="dxa" w:w="9360"/>
        <w:tblLayout w:type="fixed"/>
        <w:tblLook w:firstColumn="1" w:firstRow="1" w:lastColumn="0" w:lastRow="0" w:noHBand="0" w:noVBand="1" w:val="04A0"/>
      </w:tblPr>
      <w:tblGrid>
        <w:gridCol w:w="1584"/>
        <w:gridCol w:w="2736"/>
        <w:gridCol w:w="1584"/>
        <w:gridCol w:w="864"/>
        <w:gridCol w:w="2592"/>
      </w:tblGrid>
      <w:tr>
        <w:trPr>
          <w:tblHeader/>
          <w:cantSplit/>
        </w:trPr>
        <w:tc>
          <w:tcPr>
            <w:tcW w:type="dxa" w:w="1584"/>
          </w:tcPr>
          <w:p>
            <w:r>
              <w:t>Slot</w:t>
            </w:r>
          </w:p>
        </w:tc>
        <w:tc>
          <w:tcPr>
            <w:tcW w:type="dxa" w:w="2736"/>
          </w:tcPr>
          <w:p>
            <w:r>
              <w:t>Candidate</w:t>
            </w:r>
          </w:p>
        </w:tc>
        <w:tc>
          <w:tcPr>
            <w:tcW w:type="dxa" w:w="1584"/>
          </w:tcPr>
          <w:p>
            <w:r>
              <w:t>Lane</w:t>
            </w:r>
          </w:p>
        </w:tc>
        <w:tc>
          <w:tcPr>
            <w:tcW w:type="dxa" w:w="864"/>
          </w:tcPr>
          <w:p>
            <w:r>
              <w:t>Score</w:t>
            </w:r>
          </w:p>
        </w:tc>
        <w:tc>
          <w:tcPr>
            <w:tcW w:type="dxa" w:w="2592"/>
          </w:tcPr>
          <w:p>
            <w:r>
              <w:t>Outcome</w:t>
            </w:r>
          </w:p>
        </w:tc>
      </w:tr>
      <w:tr>
        <w:trPr>
          <w:cantSplit/>
        </w:trPr>
        <w:tc>
          <w:tcPr>
            <w:tcW w:type="dxa" w:w="1584"/>
          </w:tcPr>
          <w:p>
            <w:r>
              <w:t>Meaningful benchmark (paragraph (k))</w:t>
            </w:r>
          </w:p>
        </w:tc>
        <w:tc>
          <w:tcPr>
            <w:tcW w:type="dxa" w:w="2736"/>
          </w:tcPr>
          <w:p>
            <w:r>
              <w:t>Cliffwater Direct Lending Index (CDLI)</w:t>
            </w:r>
          </w:p>
        </w:tc>
        <w:tc>
          <w:tcPr>
            <w:tcW w:type="dxa" w:w="1584"/>
          </w:tcPr>
          <w:p>
            <w:r>
              <w:t>published strategy index</w:t>
            </w:r>
          </w:p>
        </w:tc>
        <w:tc>
          <w:tcPr>
            <w:tcW w:type="dxa" w:w="864"/>
          </w:tcPr>
          <w:p>
            <w:r>
              <w:t>7 of 10</w:t>
            </w:r>
          </w:p>
        </w:tc>
        <w:tc>
          <w:tcPr>
            <w:tcW w:type="dxa" w:w="2592"/>
          </w:tcPr>
          <w:p>
            <w:r>
              <w:t>selected. Meaningful benchmark by descriptor. No comparison until its series is held.</w:t>
            </w:r>
          </w:p>
        </w:tc>
      </w:tr>
      <w:tr>
        <w:trPr>
          <w:cantSplit/>
        </w:trPr>
        <w:tc>
          <w:tcPr>
            <w:tcW w:type="dxa" w:w="1584"/>
          </w:tcPr>
          <w:p>
            <w:r>
              <w:t>Reference comparison, not the meaningful benchmark</w:t>
            </w:r>
          </w:p>
        </w:tc>
        <w:tc>
          <w:tcPr>
            <w:tcW w:type="dxa" w:w="2736"/>
          </w:tcPr>
          <w:p>
            <w:r>
              <w:t>Senior loan investable proxy (BKLN, for Morningstar LSTA class)</w:t>
            </w:r>
          </w:p>
        </w:tc>
        <w:tc>
          <w:tcPr>
            <w:tcW w:type="dxa" w:w="1584"/>
          </w:tcPr>
          <w:p>
            <w:r>
              <w:t>exchange-traded strategy proxy</w:t>
            </w:r>
          </w:p>
        </w:tc>
        <w:tc>
          <w:tcPr>
            <w:tcW w:type="dxa" w:w="864"/>
          </w:tcPr>
          <w:p>
            <w:r>
              <w:t>7 of 10</w:t>
            </w:r>
          </w:p>
        </w:tc>
        <w:tc>
          <w:tcPr>
            <w:tcW w:type="dxa" w:w="2592"/>
          </w:tcPr>
          <w:p>
            <w:r>
              <w:t>KS-PME 1.2378, Direct Alpha 4.38%/yr, 2021-01-07 to 2025-12-31</w:t>
            </w:r>
          </w:p>
        </w:tc>
      </w:tr>
      <w:tr>
        <w:trPr>
          <w:cantSplit/>
        </w:trPr>
        <w:tc>
          <w:tcPr>
            <w:tcW w:type="dxa" w:w="1584"/>
          </w:tcPr>
          <w:p>
            <w:r>
              <w:t>Peer comparison (paragraphs (g) and (h))</w:t>
            </w:r>
          </w:p>
        </w:tc>
        <w:tc>
          <w:tcPr>
            <w:tcW w:type="dxa" w:w="2736"/>
          </w:tcPr>
          <w:p>
            <w:r>
              <w:t>private credit cohort</w:t>
            </w:r>
          </w:p>
        </w:tc>
        <w:tc>
          <w:tcPr>
            <w:tcW w:type="dxa" w:w="1584"/>
          </w:tcPr>
          <w:p>
            <w:r>
              <w:t>peer cohort</w:t>
            </w:r>
          </w:p>
        </w:tc>
        <w:tc>
          <w:tcPr>
            <w:tcW w:type="dxa" w:w="864"/>
          </w:tcPr>
          <w:p>
            <w:r>
              <w:t>not scored</w:t>
            </w:r>
          </w:p>
        </w:tc>
        <w:tc>
          <w:tcPr>
            <w:tcW w:type="dxa" w:w="2592"/>
          </w:tcPr>
          <w:p>
            <w:r>
              <w:t>relative wealth ratio 1.0986, annualized excess return 1.9%/yr (not a public market equivalent), 2021 to 2025</w:t>
            </w:r>
          </w:p>
        </w:tc>
      </w:tr>
      <w:tr>
        <w:trPr>
          <w:cantSplit/>
        </w:trPr>
        <w:tc>
          <w:tcPr>
            <w:tcW w:type="dxa" w:w="1584"/>
          </w:tcPr>
          <w:p>
            <w:r>
              <w:t>rejected</w:t>
            </w:r>
          </w:p>
        </w:tc>
        <w:tc>
          <w:tcPr>
            <w:tcW w:type="dxa" w:w="2736"/>
          </w:tcPr>
          <w:p>
            <w:r>
              <w:t>Senior loan investable proxy (BKLN, for Morningstar LSTA class)</w:t>
            </w:r>
          </w:p>
        </w:tc>
        <w:tc>
          <w:tcPr>
            <w:tcW w:type="dxa" w:w="1584"/>
          </w:tcPr>
          <w:p>
            <w:r>
              <w:t>exchange-traded strategy proxy</w:t>
            </w:r>
          </w:p>
        </w:tc>
        <w:tc>
          <w:tcPr>
            <w:tcW w:type="dxa" w:w="864"/>
          </w:tcPr>
          <w:p>
            <w:r>
              <w:t>7 of 10</w:t>
            </w:r>
          </w:p>
        </w:tc>
        <w:tc>
          <w:tcPr>
            <w:tcW w:type="dxa" w:w="2592"/>
          </w:tcPr>
          <w:p>
            <w:r>
              <w:t>Tied on score. Ordered by strategy match, then risk and liquidity match, then data held, then name. Score 7 of 10, CDLI selected.</w:t>
            </w:r>
          </w:p>
        </w:tc>
      </w:tr>
      <w:tr>
        <w:trPr>
          <w:cantSplit/>
        </w:trPr>
        <w:tc>
          <w:tcPr>
            <w:tcW w:type="dxa" w:w="1584"/>
          </w:tcPr>
          <w:p>
            <w:r>
              <w:t>rejected</w:t>
            </w:r>
          </w:p>
        </w:tc>
        <w:tc>
          <w:tcPr>
            <w:tcW w:type="dxa" w:w="2736"/>
          </w:tcPr>
          <w:p>
            <w:r>
              <w:t>Credit Suisse Leveraged Loan Index (CSLLI)</w:t>
            </w:r>
          </w:p>
        </w:tc>
        <w:tc>
          <w:tcPr>
            <w:tcW w:type="dxa" w:w="1584"/>
          </w:tcPr>
          <w:p>
            <w:r>
              <w:t>published strategy index</w:t>
            </w:r>
          </w:p>
        </w:tc>
        <w:tc>
          <w:tcPr>
            <w:tcW w:type="dxa" w:w="864"/>
          </w:tcPr>
          <w:p>
            <w:r>
              <w:t>5 of 10</w:t>
            </w:r>
          </w:p>
        </w:tc>
        <w:tc>
          <w:tcPr>
            <w:tcW w:type="dxa" w:w="2592"/>
          </w:tcPr>
          <w:p>
            <w:r>
              <w:t>score 5 of 10 below the threshold 6 of 10</w:t>
            </w:r>
          </w:p>
        </w:tc>
      </w:tr>
      <w:tr>
        <w:trPr>
          <w:cantSplit/>
        </w:trPr>
        <w:tc>
          <w:tcPr>
            <w:tcW w:type="dxa" w:w="1584"/>
          </w:tcPr>
          <w:p>
            <w:r>
              <w:t>rejected</w:t>
            </w:r>
          </w:p>
        </w:tc>
        <w:tc>
          <w:tcPr>
            <w:tcW w:type="dxa" w:w="2736"/>
          </w:tcPr>
          <w:p>
            <w:r>
              <w:t>Morningstar LSTA US Leveraged Loan Index</w:t>
            </w:r>
          </w:p>
        </w:tc>
        <w:tc>
          <w:tcPr>
            <w:tcW w:type="dxa" w:w="1584"/>
          </w:tcPr>
          <w:p>
            <w:r>
              <w:t>published strategy index</w:t>
            </w:r>
          </w:p>
        </w:tc>
        <w:tc>
          <w:tcPr>
            <w:tcW w:type="dxa" w:w="864"/>
          </w:tcPr>
          <w:p>
            <w:r>
              <w:t>5 of 10</w:t>
            </w:r>
          </w:p>
        </w:tc>
        <w:tc>
          <w:tcPr>
            <w:tcW w:type="dxa" w:w="2592"/>
          </w:tcPr>
          <w:p>
            <w:r>
              <w:t>score 5 of 10 below the threshold 6 of 10</w:t>
            </w:r>
          </w:p>
        </w:tc>
      </w:tr>
    </w:tbl>
    <w:p>
      <w:pPr>
        <w:keepNext/>
      </w:pPr>
      <w:r>
        <w:t>The rubric's criteria, 10 points in all:</w:t>
      </w:r>
    </w:p>
    <w:tbl>
      <w:tblPr>
        <w:tblStyle w:val="TableGrid"/>
        <w:tblW w:type="dxa" w:w="9360"/>
        <w:tblLayout w:type="fixed"/>
        <w:tblLook w:firstColumn="1" w:firstRow="1" w:lastColumn="0" w:lastRow="0" w:noHBand="0" w:noVBand="1" w:val="04A0"/>
      </w:tblPr>
      <w:tblGrid>
        <w:gridCol w:w="2592"/>
        <w:gridCol w:w="1008"/>
        <w:gridCol w:w="5760"/>
      </w:tblGrid>
      <w:tr>
        <w:trPr>
          <w:tblHeader/>
          <w:cantSplit/>
        </w:trPr>
        <w:tc>
          <w:tcPr>
            <w:tcW w:type="dxa" w:w="2592"/>
          </w:tcPr>
          <w:p>
            <w:r>
              <w:t>Criterion</w:t>
            </w:r>
          </w:p>
        </w:tc>
        <w:tc>
          <w:tcPr>
            <w:tcW w:type="dxa" w:w="1008"/>
          </w:tcPr>
          <w:p>
            <w:r>
              <w:t>Points</w:t>
            </w:r>
          </w:p>
        </w:tc>
        <w:tc>
          <w:tcPr>
            <w:tcW w:type="dxa" w:w="5760"/>
          </w:tcPr>
          <w:p>
            <w:r>
              <w:t>Definition</w:t>
            </w:r>
          </w:p>
        </w:tc>
      </w:tr>
      <w:tr>
        <w:trPr>
          <w:cantSplit/>
        </w:trPr>
        <w:tc>
          <w:tcPr>
            <w:tcW w:type="dxa" w:w="2592"/>
          </w:tcPr>
          <w:p>
            <w:r>
              <w:t>Strategy match</w:t>
            </w:r>
          </w:p>
        </w:tc>
        <w:tc>
          <w:tcPr>
            <w:tcW w:type="dxa" w:w="1008"/>
          </w:tcPr>
          <w:p>
            <w:r>
              <w:t>3</w:t>
            </w:r>
          </w:p>
        </w:tc>
        <w:tc>
          <w:tcPr>
            <w:tcW w:type="dxa" w:w="5760"/>
          </w:tcPr>
          <w:p>
            <w:r>
              <w:t>how closely the candidate's asset class and sub-strategy match the fund's, 3 for the same sub-strategy, 2 for the same asset class, 1 for an adjacent one</w:t>
            </w:r>
          </w:p>
        </w:tc>
      </w:tr>
      <w:tr>
        <w:trPr>
          <w:cantSplit/>
        </w:trPr>
        <w:tc>
          <w:tcPr>
            <w:tcW w:type="dxa" w:w="2592"/>
          </w:tcPr>
          <w:p>
            <w:r>
              <w:t>Risk and liquidity match</w:t>
            </w:r>
          </w:p>
        </w:tc>
        <w:tc>
          <w:tcPr>
            <w:tcW w:type="dxa" w:w="1008"/>
          </w:tcPr>
          <w:p>
            <w:r>
              <w:t>3</w:t>
            </w:r>
          </w:p>
        </w:tc>
        <w:tc>
          <w:tcPr>
            <w:tcW w:type="dxa" w:w="5760"/>
          </w:tcPr>
          <w:p>
            <w:r>
              <w:t>whether the candidate's liquidity process matches the fund's dealing terms on record (cadence, caps, gating, program status), 3 for a like-for-like process</w:t>
            </w:r>
          </w:p>
        </w:tc>
      </w:tr>
      <w:tr>
        <w:trPr>
          <w:cantSplit/>
        </w:trPr>
        <w:tc>
          <w:tcPr>
            <w:tcW w:type="dxa" w:w="2592"/>
          </w:tcPr>
          <w:p>
            <w:r>
              <w:t>Provider independence</w:t>
            </w:r>
          </w:p>
        </w:tc>
        <w:tc>
          <w:tcPr>
            <w:tcW w:type="dxa" w:w="1008"/>
          </w:tcPr>
          <w:p>
            <w:r>
              <w:t>2</w:t>
            </w:r>
          </w:p>
        </w:tc>
        <w:tc>
          <w:tcPr>
            <w:tcW w:type="dxa" w:w="5760"/>
          </w:tcPr>
          <w:p>
            <w:r>
              <w:t>2 unless the registry's affiliation map ties the candidate's publisher to one of the fund's advisers, in which case 0 and the candidate is ineligible</w:t>
            </w:r>
          </w:p>
        </w:tc>
      </w:tr>
      <w:tr>
        <w:trPr>
          <w:cantSplit/>
        </w:trPr>
        <w:tc>
          <w:tcPr>
            <w:tcW w:type="dxa" w:w="2592"/>
          </w:tcPr>
          <w:p>
            <w:r>
              <w:t>Data held</w:t>
            </w:r>
          </w:p>
        </w:tc>
        <w:tc>
          <w:tcPr>
            <w:tcW w:type="dxa" w:w="1008"/>
          </w:tcPr>
          <w:p>
            <w:r>
              <w:t>2</w:t>
            </w:r>
          </w:p>
        </w:tc>
        <w:tc>
          <w:tcPr>
            <w:tcW w:type="dxa" w:w="5760"/>
          </w:tcPr>
          <w:p>
            <w:r>
              <w:t>2 when the candidate's series is in the record, 0 when it is only cited</w:t>
            </w:r>
          </w:p>
        </w:tc>
      </w:tr>
    </w:tbl>
    <w:p>
      <w:r>
        <w:t>Metrics, each defined once: KS-PME: the fund's growth divided by the growth of the same cash in the public market series over the same window (Kaplan-Schoar public market equivalent). Above 1.0 the fund led the series. Direct Alpha: the fund's annualized excess return over the public market series on the same two flows (Gredil, Griffiths and Stucke). Zero is series-like. relative wealth ratio: the fund's cumulative growth divided by the comparator's over identical periods. Above 1.0 the fund grew more. Not a PME: the comparator is appraisal-based and cannot be bought.</w:t>
      </w:r>
    </w:p>
    <w:p>
      <w:pPr>
        <w:pStyle w:val="Heading2"/>
        <w:keepNext/>
      </w:pPr>
      <w:r>
        <w:t>Meaningful benchmark (paragraph (k)): Cliffwater Direct Lending Index (CDLI) (score 7 of 10)</w:t>
      </w:r>
    </w:p>
    <w:p>
      <w:r>
        <w:t>Meaningful benchmark by descriptor. No comparison until its series is held. The candidate is selected on its own descriptors. No number is substituted.</w:t>
      </w:r>
    </w:p>
    <w:p>
      <w:r>
        <w:t>Tied on score. Ordered by strategy match, then risk and liquidity match, then data held, then name. Tied with Senior loan investable proxy (BKLN, for Morningstar LSTA class).</w:t>
      </w:r>
    </w:p>
    <w:p>
      <w:r>
        <w:t>Selection recorded 2026-09-04, record a608225b. Rubric v3.1. The full record hash is a608225b48e4ce7c01c95c8135e1385390259758265bd7b173438738d2b5b25f.</w:t>
      </w:r>
    </w:p>
    <w:p>
      <w:pPr>
        <w:pStyle w:val="ListBullet"/>
      </w:pPr>
      <w:r>
        <w:t>Strategy match 3 of 3: same asset class and sub-strategy (private credit / direct lending)</w:t>
      </w:r>
    </w:p>
    <w:p>
      <w:pPr>
        <w:pStyle w:val="ListBullet"/>
      </w:pPr>
      <w:r>
        <w:t>Risk and liquidity match 2 of 3: appraisal-based index without a dealing mechanism of its own against a NAV fund that has prorated requests (quarterly dealing at NAV under 5% cap per quarter, requests prorated in the filings on record): the index carries no gate, so the liquidity process is one step apart</w:t>
      </w:r>
    </w:p>
    <w:p>
      <w:pPr>
        <w:pStyle w:val="ListBullet"/>
      </w:pPr>
      <w:r>
        <w:t>Provider independence 2 of 2: provider unaffiliated with the fund (Cliffwater): the registry affiliation map ties it to none of the fund's advisers</w:t>
      </w:r>
    </w:p>
    <w:p>
      <w:pPr>
        <w:pStyle w:val="ListBullet"/>
      </w:pPr>
      <w:r>
        <w:t>Data held 0 of 2: cited, series not in the record: no comparison can be computed yet</w:t>
      </w:r>
    </w:p>
    <w:p>
      <w:pPr>
        <w:pStyle w:val="Heading2"/>
        <w:keepNext/>
      </w:pPr>
      <w:r>
        <w:t>Reference comparison, not the meaningful benchmark: Senior loan investable proxy (BKLN, for Morningstar LSTA class)</w:t>
      </w:r>
    </w:p>
    <w:p>
      <w:r>
        <w:t>Reference comparison on the highest-ranked held public market series: not the meaningful benchmark.</w:t>
      </w:r>
    </w:p>
    <w:p>
      <w:r>
        <w:t>Window 2021-01-07 to 2025-12-31: fund 9.89%/yr (filed calendar-year returns (December fiscal year)) vs the public series 5.29%/yr, KS-PME 1.2378, Direct Alpha 4.38%/yr.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Heading2"/>
        <w:keepNext/>
      </w:pPr>
      <w:r>
        <w:t>Declared benchmark and SEC-required comparators (cell 5.1)</w:t>
      </w:r>
    </w:p>
    <w:p>
      <w:r>
        <w:t>The fund declares no benchmark: cell 5.1: documented absence, zero index references.</w:t>
      </w:r>
    </w:p>
    <w:p>
      <w:pPr>
        <w:pStyle w:val="Heading2"/>
        <w:keepNext/>
      </w:pPr>
      <w:r>
        <w:t>Peer comparison (paragraphs (g) and (h)): private credit cohort</w:t>
      </w:r>
    </w:p>
    <w:p>
      <w:r>
        <w:t>Peers: Cliffwater Corporate Lending Fund, PIMCO Flexible Credit Income Fund, CION Ares Diversified Credit Fund, Blue Owl Credit Income Corp. This is the history of similar investments, not the benchmark, and it is never a public market equivalent.</w:t>
      </w:r>
    </w:p>
    <w:p>
      <w:r>
        <w:t>Window 2021 to 2025 (5 calendar-year periods, n=4 peers in every period): fund 9.85%/yr (filed calendar-year returns (December fiscal year)) vs the peer composite 7.81%/yr, relative wealth ratio 1.0986, annualized excess return 1.9%/yr. Not a public market equivalent: the peer composite is appraisal-based, constructed by the evaluator and cannot be bought. Disclosure: ratios on appraisal-lagged NAVs are window-sensitive and can be smoothing-flattered.</w:t>
      </w:r>
    </w:p>
    <w:p>
      <w:r>
        <w:t>Alignment: 5 calendar-year periods with identical start and end dates for every member (2020-12-31 to 2025-12-31), n=4 peers in every period. Member return sources: Cliffwater Corporate Lending Fund: Yahoo adjusted close, approximates NAV total return, PIMCO Flexible Credit Income Fund: Yahoo adjusted close, approximates NAV total return, CION Ares Diversified Credit Fund: Yahoo adjusted close, approximates NAV total return, Blue Owl Credit Income Corp.: filed calendar-year returns (December fiscal year).</w:t>
      </w:r>
    </w:p>
    <w:p>
      <w:pPr>
        <w:keepNext/>
      </w:pPr>
      <w:r>
        <w:t>Two-point comparison: one contribution at the window start and one valuation at the end, on identical period boundaries. The ratio is fund growth divided by the comparator's growth over the same periods.</w:t>
      </w:r>
    </w:p>
    <w:tbl>
      <w:tblPr>
        <w:tblStyle w:val="TableGrid"/>
        <w:tblW w:type="dxa" w:w="9360"/>
        <w:tblLayout w:type="fixed"/>
        <w:tblLook w:firstColumn="1" w:firstRow="1" w:lastColumn="0" w:lastRow="0" w:noHBand="0" w:noVBand="1" w:val="04A0"/>
      </w:tblPr>
      <w:tblGrid>
        <w:gridCol w:w="1296"/>
        <w:gridCol w:w="576"/>
        <w:gridCol w:w="1498"/>
        <w:gridCol w:w="1498"/>
        <w:gridCol w:w="1498"/>
        <w:gridCol w:w="1498"/>
        <w:gridCol w:w="1498"/>
      </w:tblGrid>
      <w:tr>
        <w:trPr>
          <w:tblHeader/>
          <w:cantSplit/>
        </w:trPr>
        <w:tc>
          <w:tcPr>
            <w:tcW w:type="dxa" w:w="1296"/>
          </w:tcPr>
          <w:p>
            <w:r>
              <w:t>Period</w:t>
            </w:r>
          </w:p>
        </w:tc>
        <w:tc>
          <w:tcPr>
            <w:tcW w:type="dxa" w:w="576"/>
          </w:tcPr>
          <w:p>
            <w:r>
              <w:t>n</w:t>
            </w:r>
          </w:p>
        </w:tc>
        <w:tc>
          <w:tcPr>
            <w:tcW w:type="dxa" w:w="1498"/>
          </w:tcPr>
          <w:p>
            <w:r>
              <w:t>Blackstone Private Credit Fund</w:t>
            </w:r>
          </w:p>
        </w:tc>
        <w:tc>
          <w:tcPr>
            <w:tcW w:type="dxa" w:w="1498"/>
          </w:tcPr>
          <w:p>
            <w:r>
              <w:t>Cliffwater Corporate Lending Fund</w:t>
            </w:r>
          </w:p>
        </w:tc>
        <w:tc>
          <w:tcPr>
            <w:tcW w:type="dxa" w:w="1498"/>
          </w:tcPr>
          <w:p>
            <w:r>
              <w:t>PIMCO Flexible Credit Income Fund</w:t>
            </w:r>
          </w:p>
        </w:tc>
        <w:tc>
          <w:tcPr>
            <w:tcW w:type="dxa" w:w="1498"/>
          </w:tcPr>
          <w:p>
            <w:r>
              <w:t>CION Ares Diversified Credit Fund</w:t>
            </w:r>
          </w:p>
        </w:tc>
        <w:tc>
          <w:tcPr>
            <w:tcW w:type="dxa" w:w="1498"/>
          </w:tcPr>
          <w:p>
            <w:r>
              <w:t>Blue Owl Credit Income Corp.</w:t>
            </w:r>
          </w:p>
        </w:tc>
      </w:tr>
      <w:tr>
        <w:trPr>
          <w:cantSplit/>
        </w:trPr>
        <w:tc>
          <w:tcPr>
            <w:tcW w:type="dxa" w:w="1296"/>
          </w:tcPr>
          <w:p>
            <w:r>
              <w:t>2018</w:t>
            </w:r>
          </w:p>
        </w:tc>
        <w:tc>
          <w:tcPr>
            <w:tcW w:type="dxa" w:w="576"/>
          </w:tcPr>
          <w:p>
            <w:r>
              <w:t>2</w:t>
            </w:r>
          </w:p>
        </w:tc>
        <w:tc>
          <w:tcPr>
            <w:tcW w:type="dxa" w:w="1498"/>
          </w:tcPr>
          <w:p>
            <w:r>
              <w:t>n/a</w:t>
            </w:r>
          </w:p>
        </w:tc>
        <w:tc>
          <w:tcPr>
            <w:tcW w:type="dxa" w:w="1498"/>
          </w:tcPr>
          <w:p>
            <w:r>
              <w:t>n/a</w:t>
            </w:r>
          </w:p>
        </w:tc>
        <w:tc>
          <w:tcPr>
            <w:tcW w:type="dxa" w:w="1498"/>
          </w:tcPr>
          <w:p>
            <w:r>
              <w:t>2.86%</w:t>
            </w:r>
          </w:p>
        </w:tc>
        <w:tc>
          <w:tcPr>
            <w:tcW w:type="dxa" w:w="1498"/>
          </w:tcPr>
          <w:p>
            <w:r>
              <w:t>4.45%</w:t>
            </w:r>
          </w:p>
        </w:tc>
        <w:tc>
          <w:tcPr>
            <w:tcW w:type="dxa" w:w="1498"/>
          </w:tcPr>
          <w:p>
            <w:r>
              <w:t>n/a</w:t>
            </w:r>
          </w:p>
        </w:tc>
      </w:tr>
      <w:tr>
        <w:trPr>
          <w:cantSplit/>
        </w:trPr>
        <w:tc>
          <w:tcPr>
            <w:tcW w:type="dxa" w:w="1296"/>
          </w:tcPr>
          <w:p>
            <w:r>
              <w:t>2019</w:t>
            </w:r>
          </w:p>
        </w:tc>
        <w:tc>
          <w:tcPr>
            <w:tcW w:type="dxa" w:w="576"/>
          </w:tcPr>
          <w:p>
            <w:r>
              <w:t>2</w:t>
            </w:r>
          </w:p>
        </w:tc>
        <w:tc>
          <w:tcPr>
            <w:tcW w:type="dxa" w:w="1498"/>
          </w:tcPr>
          <w:p>
            <w:r>
              <w:t>n/a</w:t>
            </w:r>
          </w:p>
        </w:tc>
        <w:tc>
          <w:tcPr>
            <w:tcW w:type="dxa" w:w="1498"/>
          </w:tcPr>
          <w:p>
            <w:r>
              <w:t>n/a</w:t>
            </w:r>
          </w:p>
        </w:tc>
        <w:tc>
          <w:tcPr>
            <w:tcW w:type="dxa" w:w="1498"/>
          </w:tcPr>
          <w:p>
            <w:r>
              <w:t>10.63%</w:t>
            </w:r>
          </w:p>
        </w:tc>
        <w:tc>
          <w:tcPr>
            <w:tcW w:type="dxa" w:w="1498"/>
          </w:tcPr>
          <w:p>
            <w:r>
              <w:t>9.5%</w:t>
            </w:r>
          </w:p>
        </w:tc>
        <w:tc>
          <w:tcPr>
            <w:tcW w:type="dxa" w:w="1498"/>
          </w:tcPr>
          <w:p>
            <w:r>
              <w:t>n/a</w:t>
            </w:r>
          </w:p>
        </w:tc>
      </w:tr>
      <w:tr>
        <w:trPr>
          <w:cantSplit/>
        </w:trPr>
        <w:tc>
          <w:tcPr>
            <w:tcW w:type="dxa" w:w="1296"/>
          </w:tcPr>
          <w:p>
            <w:r>
              <w:t>2020</w:t>
            </w:r>
          </w:p>
        </w:tc>
        <w:tc>
          <w:tcPr>
            <w:tcW w:type="dxa" w:w="576"/>
          </w:tcPr>
          <w:p>
            <w:r>
              <w:t>3</w:t>
            </w:r>
          </w:p>
        </w:tc>
        <w:tc>
          <w:tcPr>
            <w:tcW w:type="dxa" w:w="1498"/>
          </w:tcPr>
          <w:p>
            <w:r>
              <w:t>n/a</w:t>
            </w:r>
          </w:p>
        </w:tc>
        <w:tc>
          <w:tcPr>
            <w:tcW w:type="dxa" w:w="1498"/>
          </w:tcPr>
          <w:p>
            <w:r>
              <w:t>5.39%</w:t>
            </w:r>
          </w:p>
        </w:tc>
        <w:tc>
          <w:tcPr>
            <w:tcW w:type="dxa" w:w="1498"/>
          </w:tcPr>
          <w:p>
            <w:r>
              <w:t>4.29%</w:t>
            </w:r>
          </w:p>
        </w:tc>
        <w:tc>
          <w:tcPr>
            <w:tcW w:type="dxa" w:w="1498"/>
          </w:tcPr>
          <w:p>
            <w:r>
              <w:t>2.79%</w:t>
            </w:r>
          </w:p>
        </w:tc>
        <w:tc>
          <w:tcPr>
            <w:tcW w:type="dxa" w:w="1498"/>
          </w:tcPr>
          <w:p>
            <w:r>
              <w:t>n/a</w:t>
            </w:r>
          </w:p>
        </w:tc>
      </w:tr>
      <w:tr>
        <w:trPr>
          <w:cantSplit/>
        </w:trPr>
        <w:tc>
          <w:tcPr>
            <w:tcW w:type="dxa" w:w="1296"/>
          </w:tcPr>
          <w:p>
            <w:r>
              <w:t>2021</w:t>
            </w:r>
          </w:p>
        </w:tc>
        <w:tc>
          <w:tcPr>
            <w:tcW w:type="dxa" w:w="576"/>
          </w:tcPr>
          <w:p>
            <w:r>
              <w:t>5</w:t>
            </w:r>
          </w:p>
        </w:tc>
        <w:tc>
          <w:tcPr>
            <w:tcW w:type="dxa" w:w="1498"/>
          </w:tcPr>
          <w:p>
            <w:r>
              <w:t>12.6%</w:t>
            </w:r>
          </w:p>
        </w:tc>
        <w:tc>
          <w:tcPr>
            <w:tcW w:type="dxa" w:w="1498"/>
          </w:tcPr>
          <w:p>
            <w:r>
              <w:t>10.38%</w:t>
            </w:r>
          </w:p>
        </w:tc>
        <w:tc>
          <w:tcPr>
            <w:tcW w:type="dxa" w:w="1498"/>
          </w:tcPr>
          <w:p>
            <w:r>
              <w:t>11.29%</w:t>
            </w:r>
          </w:p>
        </w:tc>
        <w:tc>
          <w:tcPr>
            <w:tcW w:type="dxa" w:w="1498"/>
          </w:tcPr>
          <w:p>
            <w:r>
              <w:t>9.21%</w:t>
            </w:r>
          </w:p>
        </w:tc>
        <w:tc>
          <w:tcPr>
            <w:tcW w:type="dxa" w:w="1498"/>
          </w:tcPr>
          <w:p>
            <w:r>
              <w:t>4.3%</w:t>
            </w:r>
          </w:p>
        </w:tc>
      </w:tr>
      <w:tr>
        <w:trPr>
          <w:cantSplit/>
        </w:trPr>
        <w:tc>
          <w:tcPr>
            <w:tcW w:type="dxa" w:w="1296"/>
          </w:tcPr>
          <w:p>
            <w:r>
              <w:t>2022</w:t>
            </w:r>
          </w:p>
        </w:tc>
        <w:tc>
          <w:tcPr>
            <w:tcW w:type="dxa" w:w="576"/>
          </w:tcPr>
          <w:p>
            <w:r>
              <w:t>5</w:t>
            </w:r>
          </w:p>
        </w:tc>
        <w:tc>
          <w:tcPr>
            <w:tcW w:type="dxa" w:w="1498"/>
          </w:tcPr>
          <w:p>
            <w:r>
              <w:t>3.6%</w:t>
            </w:r>
          </w:p>
        </w:tc>
        <w:tc>
          <w:tcPr>
            <w:tcW w:type="dxa" w:w="1498"/>
          </w:tcPr>
          <w:p>
            <w:r>
              <w:t>2.05%</w:t>
            </w:r>
          </w:p>
        </w:tc>
        <w:tc>
          <w:tcPr>
            <w:tcW w:type="dxa" w:w="1498"/>
          </w:tcPr>
          <w:p>
            <w:r>
              <w:t>-15.36%</w:t>
            </w:r>
          </w:p>
        </w:tc>
        <w:tc>
          <w:tcPr>
            <w:tcW w:type="dxa" w:w="1498"/>
          </w:tcPr>
          <w:p>
            <w:r>
              <w:t>-2.85%</w:t>
            </w:r>
          </w:p>
        </w:tc>
        <w:tc>
          <w:tcPr>
            <w:tcW w:type="dxa" w:w="1498"/>
          </w:tcPr>
          <w:p>
            <w:r>
              <w:t>5.2%</w:t>
            </w:r>
          </w:p>
        </w:tc>
      </w:tr>
      <w:tr>
        <w:trPr>
          <w:cantSplit/>
        </w:trPr>
        <w:tc>
          <w:tcPr>
            <w:tcW w:type="dxa" w:w="1296"/>
          </w:tcPr>
          <w:p>
            <w:r>
              <w:t>2023</w:t>
            </w:r>
          </w:p>
        </w:tc>
        <w:tc>
          <w:tcPr>
            <w:tcW w:type="dxa" w:w="576"/>
          </w:tcPr>
          <w:p>
            <w:r>
              <w:t>5</w:t>
            </w:r>
          </w:p>
        </w:tc>
        <w:tc>
          <w:tcPr>
            <w:tcW w:type="dxa" w:w="1498"/>
          </w:tcPr>
          <w:p>
            <w:r>
              <w:t>14.4%</w:t>
            </w:r>
          </w:p>
        </w:tc>
        <w:tc>
          <w:tcPr>
            <w:tcW w:type="dxa" w:w="1498"/>
          </w:tcPr>
          <w:p>
            <w:r>
              <w:t>12.66%</w:t>
            </w:r>
          </w:p>
        </w:tc>
        <w:tc>
          <w:tcPr>
            <w:tcW w:type="dxa" w:w="1498"/>
          </w:tcPr>
          <w:p>
            <w:r>
              <w:t>9.25%</w:t>
            </w:r>
          </w:p>
        </w:tc>
        <w:tc>
          <w:tcPr>
            <w:tcW w:type="dxa" w:w="1498"/>
          </w:tcPr>
          <w:p>
            <w:r>
              <w:t>12.99%</w:t>
            </w:r>
          </w:p>
        </w:tc>
        <w:tc>
          <w:tcPr>
            <w:tcW w:type="dxa" w:w="1498"/>
          </w:tcPr>
          <w:p>
            <w:r>
              <w:t>13.5%</w:t>
            </w:r>
          </w:p>
        </w:tc>
      </w:tr>
      <w:tr>
        <w:trPr>
          <w:cantSplit/>
        </w:trPr>
        <w:tc>
          <w:tcPr>
            <w:tcW w:type="dxa" w:w="1296"/>
          </w:tcPr>
          <w:p>
            <w:r>
              <w:t>2024</w:t>
            </w:r>
          </w:p>
        </w:tc>
        <w:tc>
          <w:tcPr>
            <w:tcW w:type="dxa" w:w="576"/>
          </w:tcPr>
          <w:p>
            <w:r>
              <w:t>5</w:t>
            </w:r>
          </w:p>
        </w:tc>
        <w:tc>
          <w:tcPr>
            <w:tcW w:type="dxa" w:w="1498"/>
          </w:tcPr>
          <w:p>
            <w:r>
              <w:t>11%</w:t>
            </w:r>
          </w:p>
        </w:tc>
        <w:tc>
          <w:tcPr>
            <w:tcW w:type="dxa" w:w="1498"/>
          </w:tcPr>
          <w:p>
            <w:r>
              <w:t>12.62%</w:t>
            </w:r>
          </w:p>
        </w:tc>
        <w:tc>
          <w:tcPr>
            <w:tcW w:type="dxa" w:w="1498"/>
          </w:tcPr>
          <w:p>
            <w:r>
              <w:t>15.27%</w:t>
            </w:r>
          </w:p>
        </w:tc>
        <w:tc>
          <w:tcPr>
            <w:tcW w:type="dxa" w:w="1498"/>
          </w:tcPr>
          <w:p>
            <w:r>
              <w:t>10.39%</w:t>
            </w:r>
          </w:p>
        </w:tc>
        <w:tc>
          <w:tcPr>
            <w:tcW w:type="dxa" w:w="1498"/>
          </w:tcPr>
          <w:p>
            <w:r>
              <w:t>11.5%</w:t>
            </w:r>
          </w:p>
        </w:tc>
      </w:tr>
      <w:tr>
        <w:trPr>
          <w:cantSplit/>
        </w:trPr>
        <w:tc>
          <w:tcPr>
            <w:tcW w:type="dxa" w:w="1296"/>
          </w:tcPr>
          <w:p>
            <w:r>
              <w:t>2025</w:t>
            </w:r>
          </w:p>
        </w:tc>
        <w:tc>
          <w:tcPr>
            <w:tcW w:type="dxa" w:w="576"/>
          </w:tcPr>
          <w:p>
            <w:r>
              <w:t>5</w:t>
            </w:r>
          </w:p>
        </w:tc>
        <w:tc>
          <w:tcPr>
            <w:tcW w:type="dxa" w:w="1498"/>
          </w:tcPr>
          <w:p>
            <w:r>
              <w:t>8%</w:t>
            </w:r>
          </w:p>
        </w:tc>
        <w:tc>
          <w:tcPr>
            <w:tcW w:type="dxa" w:w="1498"/>
          </w:tcPr>
          <w:p>
            <w:r>
              <w:t>8.92%</w:t>
            </w:r>
          </w:p>
        </w:tc>
        <w:tc>
          <w:tcPr>
            <w:tcW w:type="dxa" w:w="1498"/>
          </w:tcPr>
          <w:p>
            <w:r>
              <w:t>12.2%</w:t>
            </w:r>
          </w:p>
        </w:tc>
        <w:tc>
          <w:tcPr>
            <w:tcW w:type="dxa" w:w="1498"/>
          </w:tcPr>
          <w:p>
            <w:r>
              <w:t>7.69%</w:t>
            </w:r>
          </w:p>
        </w:tc>
        <w:tc>
          <w:tcPr>
            <w:tcW w:type="dxa" w:w="1498"/>
          </w:tcPr>
          <w:p>
            <w:r>
              <w:t>7.9%</w:t>
            </w:r>
          </w:p>
        </w:tc>
      </w:tr>
    </w:tbl>
    <w:p>
      <w:r>
        <w:t>The cohort is the roster's 5 surviving, still-filing products. Funds that closed, merged, or stopped filing are not in it, so any composite carries survivorship bias in the fund's favor. Membership rationales and exclusions are in the roster record.</w:t>
      </w:r>
    </w:p>
    <w:p>
      <w:r>
        <w:t>Members span 2 wrapper types (interval fund (Rule 23c-3), non-traded BDC) and 2 leverage regimes (1940-Act asset-coverage limits, BDC 150% asset-coverage regime). Fee bases, leverage and exit rights are not like-for-like, so the comparison is a history of similar investments, not a like-for-like index.</w:t>
      </w:r>
    </w:p>
    <w:p>
      <w:pPr>
        <w:pStyle w:val="Heading2"/>
        <w:keepNext/>
      </w:pPr>
      <w:r>
        <w:t>Rejection log (candidates considered and not selected)</w:t>
      </w:r>
    </w:p>
    <w:tbl>
      <w:tblPr>
        <w:tblStyle w:val="TableGrid"/>
        <w:tblW w:type="dxa" w:w="9360"/>
        <w:tblLayout w:type="fixed"/>
        <w:tblLook w:firstColumn="1" w:firstRow="1" w:lastColumn="0" w:lastRow="0" w:noHBand="0" w:noVBand="1" w:val="04A0"/>
      </w:tblPr>
      <w:tblGrid>
        <w:gridCol w:w="2880"/>
        <w:gridCol w:w="1008"/>
        <w:gridCol w:w="5472"/>
      </w:tblGrid>
      <w:tr>
        <w:trPr>
          <w:tblHeader/>
          <w:cantSplit/>
        </w:trPr>
        <w:tc>
          <w:tcPr>
            <w:tcW w:type="dxa" w:w="2880"/>
          </w:tcPr>
          <w:p>
            <w:r>
              <w:t>Candidate</w:t>
            </w:r>
          </w:p>
        </w:tc>
        <w:tc>
          <w:tcPr>
            <w:tcW w:type="dxa" w:w="1008"/>
          </w:tcPr>
          <w:p>
            <w:r>
              <w:t>Score</w:t>
            </w:r>
          </w:p>
        </w:tc>
        <w:tc>
          <w:tcPr>
            <w:tcW w:type="dxa" w:w="5472"/>
          </w:tcPr>
          <w:p>
            <w:r>
              <w:t>Reason and criteria</w:t>
            </w:r>
          </w:p>
        </w:tc>
      </w:tr>
      <w:tr>
        <w:trPr>
          <w:cantSplit/>
        </w:trPr>
        <w:tc>
          <w:tcPr>
            <w:tcW w:type="dxa" w:w="2880"/>
          </w:tcPr>
          <w:p>
            <w:r>
              <w:t>Senior loan investable proxy (BKLN, for Morningstar LSTA class)</w:t>
            </w:r>
          </w:p>
        </w:tc>
        <w:tc>
          <w:tcPr>
            <w:tcW w:type="dxa" w:w="1008"/>
          </w:tcPr>
          <w:p>
            <w:r>
              <w:t>7 of 10</w:t>
            </w:r>
          </w:p>
        </w:tc>
        <w:tc>
          <w:tcPr>
            <w:tcW w:type="dxa" w:w="5472"/>
          </w:tcPr>
          <w:p>
            <w:r>
              <w:t>Tied on score. Ordered by strategy match, then risk and liquidity match, then data held, then name. Score 7 of 10, CDLI selected. Criteria: Strategy match 2 of 3: the public-market version of the asset class (syndicated loans for direct lending), Risk and liquidity match 1 of 3: daily-liquid market series against a semi-liquid NAV fund (quarterly dealing at NAV under 5% cap per quarter, requests prorated in the filings on record): volatility and liquidity regimes differ, the PME construct exists for exactly this comparison, Provider independence 2 of 2: provider unaffiliated with the fund (Invesco / Morningstar LSTA class): the registry affiliation map ties it to none of the fund's advisers, Data held 2 of 2: daily public market series held (exchange-traded proxy, Yahoo adjusted close).</w:t>
            </w:r>
          </w:p>
        </w:tc>
      </w:tr>
      <w:tr>
        <w:trPr>
          <w:cantSplit/>
        </w:trPr>
        <w:tc>
          <w:tcPr>
            <w:tcW w:type="dxa" w:w="2880"/>
          </w:tcPr>
          <w:p>
            <w:r>
              <w:t>Credit Suisse Leveraged Loan Index (CSLLI)</w:t>
            </w:r>
          </w:p>
        </w:tc>
        <w:tc>
          <w:tcPr>
            <w:tcW w:type="dxa" w:w="1008"/>
          </w:tcPr>
          <w:p>
            <w:r>
              <w:t>5 of 10</w:t>
            </w:r>
          </w:p>
        </w:tc>
        <w:tc>
          <w:tcPr>
            <w:tcW w:type="dxa" w:w="5472"/>
          </w:tcPr>
          <w:p>
            <w:r>
              <w:t>score 5 of 10 below the threshold 6 of 10. Criteria: Strategy match 2 of 3: the public-market version of the asset class (leveraged loans for direct lending), Risk and liquidity match 1 of 3: daily-liquid market series against a semi-liquid NAV fund (quarterly dealing at NAV under 5% cap per quarter, requests prorated in the filings on record): volatility and liquidity regimes differ, the PME construct exists for exactly this comparison, Provider independence 2 of 2: provider unaffiliated with the fund (Credit Suisse (UBS)): the registry affiliation map ties it to none of the fund's advisers, Data held 0 of 2: cited, series not in the record: no comparison can be computed yet.</w:t>
            </w:r>
          </w:p>
        </w:tc>
      </w:tr>
      <w:tr>
        <w:trPr>
          <w:cantSplit/>
        </w:trPr>
        <w:tc>
          <w:tcPr>
            <w:tcW w:type="dxa" w:w="2880"/>
          </w:tcPr>
          <w:p>
            <w:r>
              <w:t>Morningstar LSTA US Leveraged Loan Index</w:t>
            </w:r>
          </w:p>
        </w:tc>
        <w:tc>
          <w:tcPr>
            <w:tcW w:type="dxa" w:w="1008"/>
          </w:tcPr>
          <w:p>
            <w:r>
              <w:t>5 of 10</w:t>
            </w:r>
          </w:p>
        </w:tc>
        <w:tc>
          <w:tcPr>
            <w:tcW w:type="dxa" w:w="5472"/>
          </w:tcPr>
          <w:p>
            <w:r>
              <w:t>score 5 of 10 below the threshold 6 of 10. Criteria: Strategy match 2 of 3: the public-market version of the asset class (syndicated loans for direct lending), Risk and liquidity match 1 of 3: daily-liquid market series against a semi-liquid NAV fund (quarterly dealing at NAV under 5% cap per quarter, requests prorated in the filings on record): volatility and liquidity regimes differ, the PME construct exists for exactly this comparison, Provider independence 2 of 2: provider unaffiliated with the fund (Morningstar / LSTA): the registry affiliation map ties it to none of the fund's advisers, Data held 0 of 2: cited, series not in the record: no comparison can be computed yet.</w:t>
            </w:r>
          </w:p>
        </w:tc>
      </w:tr>
    </w:tbl>
    <w:p>
      <w:pPr>
        <w:pStyle w:val="Heading1"/>
        <w:keepNext/>
      </w:pPr>
      <w:r>
        <w:t>Product-to-plan liquidity match</w:t>
      </w:r>
    </w:p>
    <w:p>
      <w:r>
        <w:t>Plan: US media/technology company 401(k) plan (~$570M, New York). The structural verdict reads the dealing terms on record (cells 3.1, 3.3, 2.7, plan-independent). The scenario verdict is ILLUSTRATIVE (the plan's filed outflow proxy as the base demand and the turnover assumptions as the stress, against the same capacity, per plan).</w:t>
      </w:r>
    </w:p>
    <w:p>
      <w:pPr>
        <w:pStyle w:val="Heading2"/>
        <w:keepNext/>
      </w:pPr>
      <w:r>
        <w:t>Structural verdict (dealing terms on record, plan-independent)</w:t>
      </w:r>
    </w:p>
    <w:p>
      <w:r>
        <w:t>CONDITIONAL-WEAK</w:t>
      </w:r>
    </w:p>
    <w:p>
      <w:pPr>
        <w:pStyle w:val="ListBullet"/>
      </w:pPr>
      <w:r>
        <w:t>STRUCTURAL GAP: a participant-directed 404(c) menu assumes daily pricing and daily participant liquidity, whereas this wrapper deals quarterly with a 5% cap per quarter on NAV. Direct DIA use requires a bridging structure: CIT sleeve, managed account, or TDF sleeve (cell 3.5).</w:t>
      </w:r>
    </w:p>
    <w:p>
      <w:pPr>
        <w:pStyle w:val="ListBullet"/>
      </w:pPr>
      <w:r>
        <w:t>Gating precedent: this issuer has prorated repurchases when requests exceeded caps (3.3). Capacity on paper has failed in stress before.</w:t>
      </w:r>
    </w:p>
    <w:p>
      <w:pPr>
        <w:pStyle w:val="ListBullet"/>
        <w:keepNext/>
      </w:pPr>
      <w:r>
        <w:t>Early repurchase economics: 2% if held &lt; 1 year (2.7). Relevant to participant-level churn (2.7).</w:t>
      </w:r>
    </w:p>
    <w:tbl>
      <w:tblPr>
        <w:tblStyle w:val="TableGrid"/>
        <w:tblW w:type="dxa" w:w="9360"/>
        <w:tblLayout w:type="fixed"/>
        <w:tblLook w:firstColumn="1" w:firstRow="1" w:lastColumn="0" w:lastRow="0" w:noHBand="0" w:noVBand="1" w:val="04A0"/>
      </w:tblPr>
      <w:tblGrid>
        <w:gridCol w:w="2448"/>
        <w:gridCol w:w="5760"/>
        <w:gridCol w:w="1152"/>
      </w:tblGrid>
      <w:tr>
        <w:trPr>
          <w:tblHeader/>
          <w:cantSplit/>
        </w:trPr>
        <w:tc>
          <w:tcPr>
            <w:tcW w:type="dxa" w:w="2448"/>
          </w:tcPr>
          <w:p>
            <w:r>
              <w:t>Wrapper fact</w:t>
            </w:r>
          </w:p>
        </w:tc>
        <w:tc>
          <w:tcPr>
            <w:tcW w:type="dxa" w:w="5760"/>
          </w:tcPr>
          <w:p>
            <w:r>
              <w:t>Value</w:t>
            </w:r>
          </w:p>
        </w:tc>
        <w:tc>
          <w:tcPr>
            <w:tcW w:type="dxa" w:w="1152"/>
          </w:tcPr>
          <w:p>
            <w:r>
              <w:t>Cell</w:t>
            </w:r>
          </w:p>
        </w:tc>
      </w:tr>
      <w:tr>
        <w:trPr>
          <w:cantSplit/>
        </w:trPr>
        <w:tc>
          <w:tcPr>
            <w:tcW w:type="dxa" w:w="2448"/>
          </w:tcPr>
          <w:p>
            <w:r>
              <w:t>Wrapper</w:t>
            </w:r>
          </w:p>
        </w:tc>
        <w:tc>
          <w:tcPr>
            <w:tcW w:type="dxa" w:w="5760"/>
          </w:tcPr>
          <w:p>
            <w:r>
              <w:t>non-traded BDC</w:t>
            </w:r>
          </w:p>
        </w:tc>
        <w:tc>
          <w:tcPr>
            <w:tcW w:type="dxa" w:w="1152"/>
          </w:tcPr>
          <w:p>
            <w:r>
              <w:t>6.1</w:t>
            </w:r>
          </w:p>
        </w:tc>
      </w:tr>
      <w:tr>
        <w:trPr>
          <w:cantSplit/>
        </w:trPr>
        <w:tc>
          <w:tcPr>
            <w:tcW w:type="dxa" w:w="2448"/>
          </w:tcPr>
          <w:p>
            <w:r>
              <w:t>Dealing terms</w:t>
            </w:r>
          </w:p>
        </w:tc>
        <w:tc>
          <w:tcPr>
            <w:tcW w:type="dxa" w:w="5760"/>
          </w:tcPr>
          <w:p>
            <w:r>
              <w:t>quarterly offers, 5% cap per quarter on NAV</w:t>
            </w:r>
          </w:p>
        </w:tc>
        <w:tc>
          <w:tcPr>
            <w:tcW w:type="dxa" w:w="1152"/>
          </w:tcPr>
          <w:p>
            <w:r>
              <w:t>3.1</w:t>
            </w:r>
          </w:p>
        </w:tc>
      </w:tr>
      <w:tr>
        <w:trPr>
          <w:cantSplit/>
        </w:trPr>
        <w:tc>
          <w:tcPr>
            <w:tcW w:type="dxa" w:w="2448"/>
          </w:tcPr>
          <w:p>
            <w:r>
              <w:t>Repurchase caps</w:t>
            </w:r>
          </w:p>
        </w:tc>
        <w:tc>
          <w:tcPr>
            <w:tcW w:type="dxa" w:w="5760"/>
          </w:tcPr>
          <w:p>
            <w:r>
              <w:t>5% per quarter, 20% per year</w:t>
            </w:r>
          </w:p>
        </w:tc>
        <w:tc>
          <w:tcPr>
            <w:tcW w:type="dxa" w:w="1152"/>
          </w:tcPr>
          <w:p>
            <w:r>
              <w:t>3.1</w:t>
            </w:r>
          </w:p>
        </w:tc>
      </w:tr>
      <w:tr>
        <w:trPr>
          <w:cantSplit/>
        </w:trPr>
        <w:tc>
          <w:tcPr>
            <w:tcW w:type="dxa" w:w="2448"/>
          </w:tcPr>
          <w:p>
            <w:r>
              <w:t>Annual capacity (binding cap)</w:t>
            </w:r>
          </w:p>
        </w:tc>
        <w:tc>
          <w:tcPr>
            <w:tcW w:type="dxa" w:w="5760"/>
          </w:tcPr>
          <w:p>
            <w:r>
              <w:t>20% of the position per year</w:t>
            </w:r>
          </w:p>
        </w:tc>
        <w:tc>
          <w:tcPr>
            <w:tcW w:type="dxa" w:w="1152"/>
          </w:tcPr>
          <w:p>
            <w:r>
              <w:t>3.1</w:t>
            </w:r>
          </w:p>
        </w:tc>
      </w:tr>
      <w:tr>
        <w:trPr>
          <w:cantSplit/>
        </w:trPr>
        <w:tc>
          <w:tcPr>
            <w:tcW w:type="dxa" w:w="2448"/>
          </w:tcPr>
          <w:p>
            <w:r>
              <w:t>Gating history</w:t>
            </w:r>
          </w:p>
        </w:tc>
        <w:tc>
          <w:tcPr>
            <w:tcW w:type="dxa" w:w="5760"/>
          </w:tcPr>
          <w:p>
            <w:r>
              <w:t>yes, prorated under stress</w:t>
            </w:r>
          </w:p>
        </w:tc>
        <w:tc>
          <w:tcPr>
            <w:tcW w:type="dxa" w:w="1152"/>
          </w:tcPr>
          <w:p>
            <w:r>
              <w:t>3.3</w:t>
            </w:r>
          </w:p>
        </w:tc>
      </w:tr>
      <w:tr>
        <w:trPr>
          <w:cantSplit/>
        </w:trPr>
        <w:tc>
          <w:tcPr>
            <w:tcW w:type="dxa" w:w="2448"/>
          </w:tcPr>
          <w:p>
            <w:r>
              <w:t>Repurchase program status</w:t>
            </w:r>
          </w:p>
        </w:tc>
        <w:tc>
          <w:tcPr>
            <w:tcW w:type="dxa" w:w="5760"/>
          </w:tcPr>
          <w:p>
            <w:r>
              <w:t>active as of 2025-12-31</w:t>
            </w:r>
          </w:p>
        </w:tc>
        <w:tc>
          <w:tcPr>
            <w:tcW w:type="dxa" w:w="1152"/>
          </w:tcPr>
          <w:p>
            <w:r>
              <w:t>3.1</w:t>
            </w:r>
          </w:p>
        </w:tc>
      </w:tr>
      <w:tr>
        <w:trPr>
          <w:cantSplit/>
        </w:trPr>
        <w:tc>
          <w:tcPr>
            <w:tcW w:type="dxa" w:w="2448"/>
          </w:tcPr>
          <w:p>
            <w:r>
              <w:t>Early repurchase fee</w:t>
            </w:r>
          </w:p>
        </w:tc>
        <w:tc>
          <w:tcPr>
            <w:tcW w:type="dxa" w:w="5760"/>
          </w:tcPr>
          <w:p>
            <w:r>
              <w:t>2% if held &lt; 1 year (2.7)</w:t>
            </w:r>
          </w:p>
        </w:tc>
        <w:tc>
          <w:tcPr>
            <w:tcW w:type="dxa" w:w="1152"/>
          </w:tcPr>
          <w:p>
            <w:r>
              <w:t>2.7</w:t>
            </w:r>
          </w:p>
        </w:tc>
      </w:tr>
      <w:tr>
        <w:trPr>
          <w:cantSplit/>
        </w:trPr>
        <w:tc>
          <w:tcPr>
            <w:tcW w:type="dxa" w:w="2448"/>
          </w:tcPr>
          <w:p>
            <w:r>
              <w:t>Fund net assets (for the dollar capacity)</w:t>
            </w:r>
          </w:p>
        </w:tc>
        <w:tc>
          <w:tcPr>
            <w:tcW w:type="dxa" w:w="5760"/>
          </w:tcPr>
          <w:p>
            <w:r>
              <w:t>not on record: aggregate net assets not yet carried into a fact on record. Verification-queue item</w:t>
            </w:r>
          </w:p>
        </w:tc>
        <w:tc>
          <w:tcPr>
            <w:tcW w:type="dxa" w:w="1152"/>
          </w:tcPr>
          <w:p>
            <w:r>
              <w:t>3.6</w:t>
            </w:r>
          </w:p>
        </w:tc>
      </w:tr>
    </w:tbl>
    <w:p>
      <w:pPr>
        <w:pStyle w:val="Heading2"/>
        <w:keepNext/>
      </w:pPr>
      <w:r>
        <w:t>Scenario (ILLUSTRATIVE, this plan)</w:t>
      </w:r>
    </w:p>
    <w:p>
      <w:r>
        <w:t>Plan inputs (Form 5500): net assets $565.8M, liquidity tail 36.1% of accounts (1,847 separated participants with balances), filed outflow proxy 11.7%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$28.3M): $3.3M/yr = 11.7% of the position per year vs annual wrapper capacity 20%.</w:t>
      </w:r>
    </w:p>
    <w:p>
      <w:r>
        <w:t>Slider assumption (adjustable on the Liquidity view, not a fact): tail turnover 20%/yr, active turnover 5%/yr, 10.4% of the position per year = $2.9M/yr, shown beside the filed rate, not blended with it.</w:t>
      </w:r>
    </w:p>
    <w:p>
      <w:r>
        <w:t>Stressed (the filed outflow proxy plus the increment the stress multiples add under stress (tail turnover x2, active turnover x1.5 over the slider assumption)): demand $5.8M/yr = 20.5% of the position. EXCEEDS annual wrapper capacity (20.5% vs 20%). Unmet demand rolls into later windows (gating-equivalent outcome).</w:t>
      </w:r>
    </w:p>
    <w:p>
      <w:r>
        <w:t>Fund capacity in dollars: not computable, the fund's net assets are not on record (aggregate net assets not yet carried into a fact on record. Verification-queue item), so the plan's dollar demand cannot be set against the fund's dollar capacity and the allocation slider is not shown.</w:t>
      </w:r>
    </w:p>
    <w:p>
      <w:r>
        <w:t>Scenario verdict (ILLUSTRATIVE, this plan): CONDITIONAL-WEAK.</w:t>
      </w:r>
    </w:p>
    <w:p>
      <w:pPr>
        <w:pStyle w:val="ListBullet"/>
      </w:pPr>
      <w:r>
        <w:t>Capacity: 5% per quarter on NAV: at most 20% of the position per year. This is a FUND-level cap shared by every holder, so the plan's position is served only while offers are not oversubscribed.</w:t>
      </w:r>
    </w:p>
    <w:p>
      <w:pPr>
        <w:pStyle w:val="ListBullet"/>
      </w:pPr>
      <w:r>
        <w:t>Filed outflow proxy (Schedule H, plan year 2024-01-01 to 2024-12-31): 11.7%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10.4% of the position per year vs 20% annual wrapper capacity, from tail turnover 20%/yr on the 36.1% of accounts that are separated and active turnover 5%/yr on the rest. Shown beside the filed rate, not blended with it. Within 60% of wrapper capacity at these turnover assumptions.</w:t>
      </w:r>
    </w:p>
    <w:p>
      <w:pPr>
        <w:pStyle w:val="ListBullet"/>
      </w:pPr>
      <w:r>
        <w:t>Scenario verdict (ILLUSTRATIVE, this plan): conditional-weak. Stress rung: the filed outflow proxy 11.7% of the position per year stays within the annual wrapper capacity 20% and the stressed demand 20.5% exceeds it (binding cap 5% per quarter on NAV (3.1), quarterly offers (3.1), program active as of 2025-12-31 (3.1), prorated under stress before (3.3)). Per quarter: filed 2.9% and stressed 5.1% of the position against the 5% cap.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assumptions are the stress around it.</w:t>
      </w:r>
    </w:p>
    <w:p>
      <w:r>
        <w:t>Cited: cell 2.7, cell 3.1, cell 3.3, cell 3.7, the plan record on file (Form 5500, plan year 2024-01-01 to 2024-12-31).</w:t>
      </w:r>
    </w:p>
    <w:p>
      <w:pPr>
        <w:pStyle w:val="Heading1"/>
        <w:keepNext/>
      </w:pPr>
      <w:r>
        <w:t>Peer cohort placement</w:t>
      </w:r>
    </w:p>
    <w:p>
      <w:r>
        <w:t>Evidence depth tier: COHORT. Cohort: Private credit (interval fund + non-traded BDC) (n=5). Membership rationale: Direct-lending private credit in a non-traded BDC chassis: the same strategy as cclfx on different plumbing (150% asset-coverage leverage, discretionary quarterly tenders, monthly NAV). Admitted deliberately cross-wrapper so the caveat machinery has real work.</w:t>
      </w:r>
    </w:p>
    <w:p>
      <w:r>
        <w:t>Cohort placement (private credit cohort): mgmt fee: 50th percentile of cohort (n=5), at the median of 1.25 | expense ratio (bases differ, see notes): 70th percentile of cohort (n=5), above the median of 3.76 | repurchase cap: 50th percentile of cohort (n=5), at the median of 5. Statistics and per-member values are in the cohort record, membership rationales in the facts on record.</w:t>
      </w:r>
    </w:p>
    <w:p>
      <w:pPr>
        <w:pStyle w:val="ListBullet"/>
      </w:pPr>
      <w:r>
        <w:t>Caveat: LEVERAGE-REGIME MIX: BDC 150% coverage and non-1940-Act wrappers allow materially more leverage than 1940-Act funds. Fee bases and return volatility are not like-for-like. [per product from the record: Blackstone Private Credit Fund: BDC 150% asset-coverage regime, Blue Owl Credit Income Corp.: BDC 150% asset-coverage regime, CION Ares Diversified Credit Fund: 1940-Act asset-coverage limits, Cliffwater Corporate Lending Fund: 1940-Act asset-coverage limits, PIMCO Flexible Credit Income Fund: 1940-Act asset-coverage limits]</w:t>
      </w:r>
    </w:p>
    <w:p>
      <w:pPr>
        <w:pStyle w:val="ListBullet"/>
      </w:pPr>
      <w:r>
        <w:t>Caveat: LIQUIDITY-LAW MIX: Rule 23c-3 obligations, discretionary tenders, and repurchase plans give different worst-case exit rights. Cadence numbers alone overstate comparability. [by wrapper type: Blackstone Private Credit Fund: board-discretionary share repurchases, Blue Owl Credit Income Corp.: board-discretionary share repurchases, CION Ares Diversified Credit Fund: Rule 23c-3 OBLIGATION (board cannot skip a window), Cliffwater Corporate Lending Fund: Rule 23c-3 OBLIGATION (board cannot skip a window), PIMCO Flexible Credit Income Fund: Rule 23c-3 OBLIGATION (board cannot skip a window)]</w:t>
      </w:r>
    </w:p>
    <w:p>
      <w:pPr>
        <w:pStyle w:val="ListBullet"/>
      </w:pPr>
      <w:r>
        <w:t>Caveat: NAV-CADENCE MIX: daily, monthly, and quarterly NAV processes embed different appraisal smoothing. Volatility and drawdown comparisons inherit that difference (see de-smoothing lab). [per product from the record: Blackstone Private Credit Fund: monthly, Blue Owl Credit Income Corp.: quarterly, CION Ares Diversified Credit Fund: daily, Cliffwater Corporate Lending Fund: daily, PIMCO Flexible Credit Income Fund: daily]</w:t>
      </w:r>
    </w:p>
    <w:p>
      <w:r>
        <w:t>Cohort exclusion log: every candidate considered and not admitted is recorded with its reason in the roster decisions record (shown on the Cohorts view). Membership is an argued judgment, not a tag.</w:t>
      </w:r>
    </w:p>
    <w:p>
      <w:pPr>
        <w:pStyle w:val="Heading1"/>
        <w:keepNext/>
      </w:pPr>
      <w:r>
        <w:t>Advisor-stated inputs (this plan)</w:t>
      </w:r>
    </w:p>
    <w:p>
      <w:r>
        <w:t>An advisor-stated cell is the adopting fiduciary's own input for its plan, signed and dated. It is not evidence, it is never extracted or verified, and the product record's cell stays as it is.</w:t>
      </w:r>
    </w:p>
    <w:p>
      <w:r>
        <w:t>None stated for US media/technology company 401(k) plan (~$570M, New York). The six committee cells (6.6 Plan operational fit, 6.8 Fiduciary capacity self-assessment, 3.7 Plan participant liquidity demand, 2.8 CIT fee schedule, 3.5 TDF/CIT liquidity sleeve, 4.9 CIT unit valuation) remain open.</w:t>
      </w:r>
    </w:p>
    <w:p>
      <w:pPr>
        <w:pStyle w:val="Heading1"/>
        <w:keepNext/>
      </w:pPr>
      <w:r>
        <w:t>Scope and case law</w:t>
      </w:r>
    </w:p>
    <w:p>
      <w:pPr>
        <w:pStyle w:val="Heading2"/>
        <w:keepNext/>
      </w:pPr>
      <w:r>
        <w:t>Scope</w:t>
      </w:r>
    </w:p>
    <w:p>
      <w:r>
        <w:t>This record covers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figure read from a cited cell, or a computation from cited series. Every scenario figure is labeled ILLUSTRATIVE. Cells marked extracted-unverified were extracted by an agent and not yet verified by a person. Verbatim regulatory text is in this record and quoted where cited.</w:t>
      </w:r>
    </w:p>
    <w:p>
      <w:pPr>
        <w:pStyle w:val="Heading2"/>
        <w:keepNext/>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record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keepNext/>
      </w:pPr>
      <w:r>
        <w:t>Provenance</w:t>
      </w:r>
    </w:p>
    <w:p>
      <w:r>
        <w:t>Cell status for this product, from the record's one coverage formula: structured 0, extracted-unverified 26, verified 0, computed 11, partial 4, fetched 1, n/a 13, pending 0. 37 of 42 resolved: 26 evidenced, 11 computed, 5 partial, 13 n/a, 0 verified by a person.</w:t>
      </w:r>
    </w:p>
    <w:p>
      <w:r>
        <w:t>Of the 37 resolved cells (structured, extracted-unverified, verified and computed), 37 carry a source document, 37 a section, 26 a verbatim quote (computed cells carry their computation and inputs instead of a quote) and 37 an extractor. 5 cells are partial or fetched and are not counted as resolved. No cell is verified: no cell has been independently re-checked by a person, and the verifier column is empty on every row. Cells marked extracted-unverified were extracted by an agent from the cited document.</w:t>
      </w:r>
    </w:p>
    <w:p>
      <w:pPr>
        <w:pStyle w:val="Heading2"/>
        <w:keepNext/>
      </w:pPr>
      <w:r>
        <w:t>Sources cited, by filing</w:t>
      </w:r>
    </w:p>
    <w:p>
      <w:pPr>
        <w:keepNext/>
      </w:pPr>
      <w:r>
        <w:t>Every filing an evidenced cell cites, resolved against the filing manifest by accession, with the cells that cite it. A cell whose reference does not resolve is listed after the table with the reason. The source as written in the evidence ledger stays on the ledger row.</w:t>
      </w:r>
    </w:p>
    <w:tbl>
      <w:tblPr>
        <w:tblStyle w:val="TableGrid"/>
        <w:tblW w:type="dxa" w:w="9360"/>
        <w:tblLayout w:type="fixed"/>
        <w:tblLook w:firstColumn="1" w:firstRow="1" w:lastColumn="0" w:lastRow="0" w:noHBand="0" w:noVBand="1" w:val="04A0"/>
      </w:tblPr>
      <w:tblGrid>
        <w:gridCol w:w="1872"/>
        <w:gridCol w:w="4896"/>
        <w:gridCol w:w="2592"/>
      </w:tblGrid>
      <w:tr>
        <w:trPr>
          <w:tblHeader/>
          <w:cantSplit/>
        </w:trPr>
        <w:tc>
          <w:tcPr>
            <w:tcW w:type="dxa" w:w="1872"/>
          </w:tcPr>
          <w:p>
            <w:r>
              <w:t>Filing</w:t>
            </w:r>
          </w:p>
        </w:tc>
        <w:tc>
          <w:tcPr>
            <w:tcW w:type="dxa" w:w="4896"/>
          </w:tcPr>
          <w:p>
            <w:r>
              <w:t>Accession and EDGAR URL</w:t>
            </w:r>
          </w:p>
        </w:tc>
        <w:tc>
          <w:tcPr>
            <w:tcW w:type="dxa" w:w="2592"/>
          </w:tcPr>
          <w:p>
            <w:r>
              <w:t>Cells citing it</w:t>
            </w:r>
          </w:p>
        </w:tc>
      </w:tr>
      <w:tr>
        <w:trPr>
          <w:cantSplit/>
        </w:trPr>
        <w:tc>
          <w:tcPr>
            <w:tcW w:type="dxa" w:w="1872"/>
          </w:tcPr>
          <w:p>
            <w:r>
              <w:t>10-K 2026-03-13</w:t>
            </w:r>
          </w:p>
        </w:tc>
        <w:tc>
          <w:tcPr>
            <w:tcW w:type="dxa" w:w="4896"/>
          </w:tcPr>
          <w:p>
            <w:r>
              <w:t>accession 0001803498-26-000014</w:t>
            </w:r>
          </w:p>
          <w:p>
            <w:r>
              <w:t>https://www.sec.gov/Archives/edgar/data/1803498/000180349826000014/bcred-20251231.htm</w:t>
            </w:r>
          </w:p>
        </w:tc>
        <w:tc>
          <w:tcPr>
            <w:tcW w:type="dxa" w:w="2592"/>
          </w:tcPr>
          <w:p>
            <w:r>
              <w:t>1.1, 1.2, 1.3, 1.4, 1.5, 1.11 (matched by form only), 2.1, 2.2, 2.3, 2.6, 2.7, 3.1, 3.2, 3.3, 3.4, 3.6, 4.1, 4.2, 4.3, 4.4, 4.5, 5.1, 6.1 (matched by form only), 6.2, 6.3, 6.5 (matched by form only)</w:t>
            </w:r>
          </w:p>
        </w:tc>
      </w:tr>
      <w:tr>
        <w:trPr>
          <w:cantSplit/>
        </w:trPr>
        <w:tc>
          <w:tcPr>
            <w:tcW w:type="dxa" w:w="1872"/>
          </w:tcPr>
          <w:p>
            <w:r>
              <w:t>486BPOS 2026-05-01</w:t>
            </w:r>
          </w:p>
        </w:tc>
        <w:tc>
          <w:tcPr>
            <w:tcW w:type="dxa" w:w="4896"/>
          </w:tcPr>
          <w:p>
            <w:r>
              <w:t>accession 0001193125-26-198102</w:t>
            </w:r>
          </w:p>
          <w:p>
            <w:r>
              <w:t>https://www.sec.gov/Archives/edgar/data/1803498/000119312526198102/d120436d486bpos.htm</w:t>
            </w:r>
          </w:p>
        </w:tc>
        <w:tc>
          <w:tcPr>
            <w:tcW w:type="dxa" w:w="2592"/>
          </w:tcPr>
          <w:p>
            <w:r>
              <w:t>1.11, 2.3, 2.4, 5.1 (matched by form only), 6.1, 6.4, 6.5</w:t>
            </w:r>
          </w:p>
        </w:tc>
      </w:tr>
      <w:tr>
        <w:trPr>
          <w:cantSplit/>
        </w:trPr>
        <w:tc>
          <w:tcPr>
            <w:tcW w:type="dxa" w:w="1872"/>
          </w:tcPr>
          <w:p>
            <w:r>
              <w:t>424B3 2026-07-24</w:t>
            </w:r>
          </w:p>
        </w:tc>
        <w:tc>
          <w:tcPr>
            <w:tcW w:type="dxa" w:w="4896"/>
          </w:tcPr>
          <w:p>
            <w:r>
              <w:t>accession 0001193125-26-316168</w:t>
            </w:r>
          </w:p>
          <w:p>
            <w:r>
              <w:t>https://www.sec.gov/Archives/edgar/data/1803498/000119312526316168/d145798d424b3.htm</w:t>
            </w:r>
          </w:p>
        </w:tc>
        <w:tc>
          <w:tcPr>
            <w:tcW w:type="dxa" w:w="2592"/>
          </w:tcPr>
          <w:p>
            <w:r>
              <w:t>1.11</w:t>
            </w:r>
          </w:p>
        </w:tc>
      </w:tr>
      <w:tr>
        <w:trPr>
          <w:cantSplit/>
        </w:trPr>
        <w:tc>
          <w:tcPr>
            <w:tcW w:type="dxa" w:w="1872"/>
          </w:tcPr>
          <w:p>
            <w:r>
              <w:t>SC TO-I 2026-08-04</w:t>
            </w:r>
          </w:p>
        </w:tc>
        <w:tc>
          <w:tcPr>
            <w:tcW w:type="dxa" w:w="4896"/>
          </w:tcPr>
          <w:p>
            <w:r>
              <w:t>accession 0001193125-26-331631</w:t>
            </w:r>
          </w:p>
          <w:p>
            <w:r>
              <w:t>https://www.sec.gov/Archives/edgar/data/1803498/000119312526331631/d58084dsctoi.htm</w:t>
            </w:r>
          </w:p>
        </w:tc>
        <w:tc>
          <w:tcPr>
            <w:tcW w:type="dxa" w:w="2592"/>
          </w:tcPr>
          <w:p>
            <w:r>
              <w:t>3.1, 3.3</w:t>
            </w:r>
          </w:p>
        </w:tc>
      </w:tr>
      <w:tr>
        <w:trPr>
          <w:cantSplit/>
        </w:trPr>
        <w:tc>
          <w:tcPr>
            <w:tcW w:type="dxa" w:w="1872"/>
          </w:tcPr>
          <w:p>
            <w:r>
              <w:t>10-Q 2026-08-12</w:t>
            </w:r>
          </w:p>
        </w:tc>
        <w:tc>
          <w:tcPr>
            <w:tcW w:type="dxa" w:w="4896"/>
          </w:tcPr>
          <w:p>
            <w:r>
              <w:t>accession 0001803498-26-000048</w:t>
            </w:r>
          </w:p>
          <w:p>
            <w:r>
              <w:t>https://www.sec.gov/Archives/edgar/data/1803498/000180349826000048/bcred-20260630.htm</w:t>
            </w:r>
          </w:p>
        </w:tc>
        <w:tc>
          <w:tcPr>
            <w:tcW w:type="dxa" w:w="2592"/>
          </w:tcPr>
          <w:p>
            <w:r>
              <w:t>1.1, 1.2, 2.3 (matched by form only), 3.3, 3.4, 3.6, 6.5 (matched by form only)</w:t>
            </w:r>
          </w:p>
        </w:tc>
      </w:tr>
    </w:tbl>
    <w:p>
      <w:pPr>
        <w:keepNext/>
      </w:pPr>
      <w:r>
        <w:t>Cells whose reference does not resolve to a manifest row:</w:t>
      </w:r>
    </w:p>
    <w:p>
      <w:pPr>
        <w:pStyle w:val="ListBullet"/>
      </w:pPr>
      <w:r>
        <w:t>1.8: accession not on record: no filing reference in the source field</w:t>
      </w:r>
    </w:p>
    <w:p>
      <w:pPr>
        <w:pStyle w:val="ListBullet"/>
      </w:pPr>
      <w:r>
        <w:t>1.9: accession not on record: no filing reference in the source field</w:t>
      </w:r>
    </w:p>
    <w:p>
      <w:pPr>
        <w:pStyle w:val="ListBullet"/>
      </w:pPr>
      <w:r>
        <w:t>1.12: accession not on record: no filing reference in the source field</w:t>
      </w:r>
    </w:p>
    <w:p>
      <w:pPr>
        <w:pStyle w:val="ListBullet"/>
      </w:pPr>
      <w:r>
        <w:t>2.9: accession not on record: no filing reference in the source field</w:t>
      </w:r>
    </w:p>
    <w:p>
      <w:pPr>
        <w:pStyle w:val="ListBullet"/>
      </w:pPr>
      <w:r>
        <w:t>3.7: accession not on record: no filing reference in the source field</w:t>
      </w:r>
    </w:p>
    <w:p>
      <w:pPr>
        <w:pStyle w:val="ListBullet"/>
      </w:pPr>
      <w:r>
        <w:t>3.8: accession not on record: no filing reference in the source field</w:t>
      </w:r>
    </w:p>
    <w:p>
      <w:pPr>
        <w:pStyle w:val="ListBullet"/>
      </w:pPr>
      <w:r>
        <w:t>3.9: accession not on record: no filing reference in the source field</w:t>
      </w:r>
    </w:p>
    <w:p>
      <w:pPr>
        <w:pStyle w:val="ListBullet"/>
      </w:pPr>
      <w:r>
        <w:t>4.6: accession not on record: no filing reference in the source field</w:t>
      </w:r>
    </w:p>
    <w:p>
      <w:pPr>
        <w:pStyle w:val="ListBullet"/>
      </w:pPr>
      <w:r>
        <w:t>5.3: accession not on record: no filing reference in the source field</w:t>
      </w:r>
    </w:p>
    <w:p>
      <w:pPr>
        <w:pStyle w:val="ListBullet"/>
      </w:pPr>
      <w:r>
        <w:t>5.4: accession not on record: no filing reference in the source field</w:t>
      </w:r>
    </w:p>
    <w:p>
      <w:pPr>
        <w:pStyle w:val="ListBullet"/>
      </w:pPr>
      <w:r>
        <w:t>5.5: accession not on record: no filing reference in the source field</w:t>
      </w:r>
    </w:p>
    <w:p>
      <w:pPr>
        <w:pStyle w:val="ListBullet"/>
      </w:pPr>
      <w:r>
        <w:t>5.6: accession not on record: no filing reference in the source field</w:t>
      </w:r>
    </w:p>
    <w:p>
      <w:pPr>
        <w:pStyle w:val="ListBullet"/>
      </w:pPr>
      <w:r>
        <w:t>5.7: accession not on record: no filing reference in the source field</w:t>
      </w:r>
    </w:p>
    <w:p>
      <w:r>
        <w:t>Plan record: DOL Form 5500 and Schedule H for plan year 2024-01-01 to 2024-12-31, shown under the plan's anonymized label.</w:t>
      </w:r>
    </w:p>
    <w:p>
      <w:r>
        <w:t>Data sources: SEC EDGAR filings (5 held for this product in the filing manifest, every row with its accession) and DOL EBSA Form 5500 data for the plan, shown under its anonymized label.</w:t>
      </w:r>
    </w:p>
    <w:p>
      <w:pPr>
        <w:pStyle w:val="Heading1"/>
        <w:keepNext/>
      </w:pPr>
      <w:r>
        <w:t>Attachments</w:t>
      </w:r>
    </w:p>
    <w:p>
      <w:r>
        <w:t>Attachment A: the verbatim text of proposed 29 CFR 2550.404a-6 paragraphs (g) to (l), examples included, one document shared by every record and named by the first twelve characters of its content hash, aef7a94680824e5574780e1f614702189d9dafcf1fde58558ff3ac782d3dcd5a.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w:t>
    </w:r>
    <w:r>
      <w:fldChar w:fldCharType="end"/>
    </w:r>
    <w:r>
      <w:t>. Record as of 2026-09-04.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Investment Selection Record. US media/technology company 401(k) plan (~$570M, New York). Blackstone Private Credit Fund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Selection Record: Blackstone Private Credit Fund for US media/technology company 401(k) plan (~$570M, New York)</dc:title>
  <dc:subject>Fiduciary Duties in Selecting Designated Investment Alternatives, 91 FR 16088 (Mar. 31, 2026), RIN 1210-AC38, proposed 29 CFR 2550.404a-6, paragraphs (g) to (l)</dc:subject>
  <dc:creator>Tark</dc:creator>
  <cp:keywords>bcred, plan_tech_media, 2026-09-04</cp:keywords>
  <dc:description>Generated from the record. The fiduciary decides on it.</dc:description>
  <cp:lastModifiedBy>Tark</cp:lastModifiedBy>
  <cp:revision>1</cp:revision>
  <dcterms:created xsi:type="dcterms:W3CDTF">2026-09-04T00:00:00Z</dcterms:created>
  <dcterms:modified xsi:type="dcterms:W3CDTF">2026-09-04T00:00:00Z</dcterms:modified>
  <cp:category>Investment Selection Record</cp:category>
</cp:coreProperties>
</file>