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Blue Owl Credit Income Corp. (perpetual-life non-traded BDC (quarterly 13e-4 tenders), CIK 1812554)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Annual net total returns (NAV-based, DRIP-assumed, net of all fees) by class — 2021: S 5.1% / D 6.1% / I 4.3%; 2022: 4.2% / 4.9% / 5.2%; 2023: 12.6% / 13.3% / 13.5%; 2024: 10.4% / 11.1% / 11.5%; 2025: 7.1% / 7.7% / 7.9%;</w:t>
              <w:br/>
              <w:t>1.2: Calendar-year total returns are printed per class for 2020 (partial) through 2025 (see 1.1). The 10-K prints NO trailing 3-year/5-year/since-inception annualized return figures; footnote states total return is not annual</w:t>
              <w:br/>
              <w:t>1.3: No gross-of-fee return series is published; only net total returns. The documented gross-to-net wedge: FY2025 net expense ratios to average net assets were 9.3% (S) / 8.7% (D) / 8.4% (I), including interest expense; FY20</w:t>
              <w:br/>
              <w:t>1.4: Monthly distributions, declared by the Board monthly in arrears. Per-share distributions FY2025: S $0.87 / D $0.93 / I $0.95 (of which $0.07/$0.09/$0.08 was in excess of net investment income on a book basis); FY2024: $0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Base management fee: 1.25% per annum on the average value of NET ASSETS at the end of the two most recently completed calendar months, payable monthly in arrears (NOT a gross/total-assets base — leverage is excluded from</w:t>
              <w:br/>
              <w:t>2.2: Two-part incentive fee. (1) Income: 12.50% of pre-incentive-fee net investment income, quarterly in arrears; quarterly preferred return (hurdle) 1.25% of prior-quarter NAV; 100% catch-up on income between 1.25% and the 1</w:t>
              <w:br/>
              <w:t>2.3: N-2 fee table (as % of net assets attributable to common shares, assuming $18.1B average net assets and borrowing equal to 100% of average net assets): Total annual expenses 9.94% (Class S) / 9.34% (D) / 9.09% (I) = base</w:t>
              <w:br/>
              <w:t>2.4: Acquired fund fees and expenses line in the N-2 fee table is 0% (shown as —) for all three classes; the fund does not expect material expenses from investing in other registered funds/BDCs. Shareholders would, however, i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Perpetual-life, non-traded BDC. No exchange listing intended and no committed liquidity-event timeline ('if at all'). Sole ordinary liquidity: quarterly issuer tender offers at the current net offering price per class, c</w:t>
              <w:br/>
              <w:t>3.2: Mechanics: issuer tender offers under Exchange Act Rule 13e-4 (SC TO-I checkbox: 'Issuer tender offer subject to Rule 13e-4'), NOT Rule 23c-3 interval-fund repurchases. Price = current net offering price per share for th</w:t>
              <w:br/>
              <w:t>3.3: Twelve consecutive quarterly tenders completed FY2023-FY2025, all three classes, every quarter. Dollar totals repurchased: FY2023 $387.3M; FY2024 $639.0M; FY2025 $1,995.3M (Q1 $203.9M, Q2 $464.2M, Q3 $318.1M, Q4 $1,009.1</w:t>
              <w:br/>
              <w:t>3.4: Portfolio is fundamentally illiquid: $30.48B of $35.92B total investments are Level 3 and substantially all lack readily available market prices; 88.0% first-lien senior secured private loans across 370 companies. Liquid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Rule 2a-5 framework: Board designated the Adviser as valuation designee (from Q4 2022); quarterly multi-step valuation process (independent valuation firms provide preliminary valuations; Adviser valuation committee dete</w:t>
              <w:br/>
              <w:t xml:space="preserve">4.2: Fair value hierarchy at 12/31/2025 ($ thousands): Level 1 $0; Level 2 $4,468,669; Level 3 $30,479,543; subtotal $34,948,212; plus $970,736 measured at NAV practical expedient (OCIC SLF, Credit SLF, BOCSO, LSI Financing, </w:t>
              <w:br/>
              <w:t>4.3: Independent third-party valuation firm(s) are engaged at the direction of the Adviser and begin the process by providing preliminary valuations of each investment without readily available quotations; the filings also no</w:t>
              <w:br/>
              <w:t xml:space="preserve">4.4: By asset type: investments with readily available market quotations valued at the average bid of those quotations (with source/count validation; broker-quote-based prices screened for Level 2 vs 3 treatment); non-quoted 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No self-declared performance benchmark index appears in the FY2025 10-K or the 2025 N-2. Performance is presented solely as NAV-based total return net of all fees (Financial Highlights); the only 'benchmarks' named are f</w:t>
              <w:br/>
              <w:t>5.3: Candidates evaluated incl. paid/manual indices (CDLI 6/12 - below threshold, provider is a fund adviser in the cohort), with the peer cohort a real lane-C candidate (7/12 - reaches threshold, outranked by BKLN primary/se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  <w:br/>
              <w:t>5.5: PME inputs (computed): window 2021-01-01 to 2025-12-31; flows [-1 at start, 1.4983 at end]; index BKLN adj-close. KS-PME 1.152, Direct Alpha 2.87%/yr.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Maryland corporation (formed 4/22/2020); externally managed, perpetual-life, non-traded closed-end fund electing BDC status under the 1940 Act and RIC tax status. Adviser &amp; Administrator: Blue Owl Credit Advisors LLC, in</w:t>
              <w:br/>
              <w:t xml:space="preserve">6.2: Direct origination of loans to U.S. middle-market companies (EBITDA $25M-$500M and/or revenue $125M-$5B), sponsored and non-sponsored. Portfolio at 12/31/2025 (fair value): 88.0% first-lien senior secured (40.5% of that </w:t>
              <w:br/>
              <w:t>6.3: Dense affiliate web: (1) SEC co-investment exemptive relief — a NEW order granted May 6, 2025 superseding the prior order, permitting co-investment with Blue Owl-managed funds on same-terms/same-time conditions with requ</w:t>
              <w:br/>
              <w:t>6.4: Form 1099, not K-1. OCIC is a Maryland corporation taxed as a RIC (elected beginning with the taxable period ended 12/31/2020); the N-2 states U.S. shareholders receive Form 1099-DIV (and 1099-B if required; non-U.S. hol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(score 9/12)</w:t>
      </w:r>
    </w:p>
    <w:p>
      <w:r>
        <w:t>Window 2021-01-01 to 2025-12-31: fund 8.42%/yr vs benchmark 5.36%/yr, KS-PME 1.1541, Direct Alpha 2.91%/yr.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broadly syndicated loans vs direct lending (close cousin, not twin). Fund itself declares NO benchmark (5.1), so the engine constructs one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(score 9/12)</w:t>
      </w:r>
    </w:p>
    <w:p>
      <w:r>
        <w:t>Window 2021-01-01 to 2025-12-31: fund 8.42%/yr vs benchmark 5.36%/yr, KS-PME 1.1541, Direct Alpha 2.91%/yr.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Perpetual non-traded BDC running quarterly 13e-4 tenders, bcred's closest structural twin. Admitted via the census promotion pipeline (46 SC TO-I filings as T1 cadence evidence, Owl Rock -&gt; Blue Owl rename verified in the SEC record).</w:t>
      </w:r>
    </w:p>
    <w:p>
      <w:r>
        <w:t>Cohort placement (private_credit, R4 phrasing): mgmt fee: 50th percentile of cohort (n=5), at the median of 1.25 | expense ratio (bases differ, see notes): 90th percentile of cohort (n=5), above the median of 3.76 | repurchase cap: 50th percentile of cohort (n=5), at the median of 5. Stats and per-member values in data/cohorts/private_credit.json,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7, extracted: 26, fetched: 1, n/a: 12, partial: 8.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