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Global management-consulting firm profit-sharing/401(k) plan (~$9.8B, NY)</w:t>
        <w:br/>
      </w:r>
      <w:r>
        <w:t>Product: ARK Venture Fund (TRUE interval fund (Rule 23c-3), venture/growth (ARKVX), CIK 1905088)</w:t>
        <w:br/>
      </w:r>
      <w:r>
        <w:t>Record as of 2026-09-04. DRAFT, generated by the build from the record. The decision memo for the same plan and product is a separate document.</w:t>
      </w:r>
    </w:p>
    <w:p>
      <w:pPr>
        <w:pStyle w:val="Heading1"/>
      </w:pPr>
      <w:r>
        <w:t>Summary</w:t>
      </w:r>
    </w:p>
    <w:p>
      <w:r>
        <w:t>Structural liquidity verdict: PARTIAL (typed facts, plan-independent). Scenario verdict under this plan (ILLUSTRATIVE, default sliders): CONDITIONAL.</w:t>
      </w:r>
    </w:p>
    <w:p>
      <w:r>
        <w:t>Benchmark: escalated. NO MEANINGFUL BENCHMARK CONSTRUCTIBLE from the candidates scored for this pre-IPO and venture fund: no candidate passes the strategy gate at or above 7/12. Scored: PSP 7/12 (fails the strategy gate (1/3)), URTH 7/12 (fails the strategy gate (1/3)), SPY 7/12 (fails the strategy gate (1/3)). Required next: a published pre-IPO and venture strategy index with a series the record can hold.</w:t>
      </w:r>
    </w:p>
    <w:p>
      <w:r>
        <w:t>Peer comparison (paragraphs (g) and (h)): composite refused, fewer than 3 peers remain after leaving ARK Venture Fund out (2: Destiny Tech100 Inc, Neostellar Capital Corp.).</w:t>
      </w:r>
    </w:p>
    <w:p>
      <w:r>
        <w:t>Flags raised by the record (each restates a typed value or verdict, with its source):</w:t>
      </w:r>
    </w:p>
    <w:p>
      <w:pPr>
        <w:pStyle w:val="ListBullet"/>
      </w:pPr>
      <w:r>
        <w:t>Benchmark: NO MEANINGFUL BENCHMARK CONSTRUCTIBLE from the candidates scored for this pre-IPO and venture fund: no candidate passes the strategy gate at or above 7/12. Scored: PSP 7/12 (fails the strategy gate (1/3)), URTH 7/12 (fails the strategy gate (1/3)), SPY 7/12 (fails the strategy gate (1/3)). Required next: a published pre-IPO and venture strategy index with a series the record can hold. (benchmark selection)</w:t>
      </w:r>
    </w:p>
    <w:p>
      <w:pPr>
        <w:pStyle w:val="ListBullet"/>
      </w:pPr>
      <w:r>
        <w:t>Peer comparison: composite refused, fewer than 3 peers remain after leaving ARK Venture Fund out (2: Destiny Tech100 Inc, Neostellar Capital Corp.) (cell 1.12)</w:t>
      </w:r>
    </w:p>
    <w:p>
      <w:pPr>
        <w:pStyle w:val="ListBullet"/>
      </w:pPr>
      <w:r>
        <w:t>Liquidity: structural verdict partial, facts missing: gate_history (cells 3.1, 3.3)</w:t>
      </w:r>
    </w:p>
    <w:p>
      <w:r>
        <w:t>Evidence coverage: 44 of 44 resolvable, 0 verified, 11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No candidate is eligible on held data.</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SEC-required comparator</w:t>
            </w:r>
          </w:p>
        </w:tc>
        <w:tc>
          <w:tcPr>
            <w:tcW w:type="dxa" w:w="3456"/>
          </w:tcPr>
          <w:p>
            <w:r>
              <w:t>S&amp;P 500 Index</w:t>
            </w:r>
          </w:p>
        </w:tc>
        <w:tc>
          <w:tcPr>
            <w:tcW w:type="dxa" w:w="864"/>
          </w:tcPr>
          <w:p>
            <w:r/>
          </w:p>
        </w:tc>
        <w:tc>
          <w:tcPr>
            <w:tcW w:type="dxa" w:w="3888"/>
          </w:tcPr>
          <w:p>
            <w:r>
              <w:t>held, scored 7/12, fails the strategy gate (strategy_match 1/3). KS-PME 1.3988, Direct Alpha 9.04%/yr, 2022-08-31 to 2026-07-17</w:t>
            </w:r>
          </w:p>
        </w:tc>
      </w:tr>
      <w:tr>
        <w:tc>
          <w:tcPr>
            <w:tcW w:type="dxa" w:w="1152"/>
          </w:tcPr>
          <w:p>
            <w:r>
              <w:t>SEC-required comparator</w:t>
            </w:r>
          </w:p>
        </w:tc>
        <w:tc>
          <w:tcPr>
            <w:tcW w:type="dxa" w:w="3456"/>
          </w:tcPr>
          <w:p>
            <w:r>
              <w:t>MSCI World (Net) Index</w:t>
            </w:r>
          </w:p>
        </w:tc>
        <w:tc>
          <w:tcPr>
            <w:tcW w:type="dxa" w:w="864"/>
          </w:tcPr>
          <w:p>
            <w:r/>
          </w:p>
        </w:tc>
        <w:tc>
          <w:tcPr>
            <w:tcW w:type="dxa" w:w="3888"/>
          </w:tcPr>
          <w:p>
            <w:r>
              <w:t>held, scored 7/12, fails the strategy gate (strategy_match 1/3). KS-PME 1.4242, Direct Alpha 9.55%/yr, 2022-08-31 to 2026-07-17</w:t>
            </w:r>
          </w:p>
        </w:tc>
      </w:tr>
      <w:tr>
        <w:tc>
          <w:tcPr>
            <w:tcW w:type="dxa" w:w="1152"/>
          </w:tcPr>
          <w:p>
            <w:r>
              <w:t>Peer comparison (paragraphs (g) and (h))</w:t>
            </w:r>
          </w:p>
        </w:tc>
        <w:tc>
          <w:tcPr>
            <w:tcW w:type="dxa" w:w="3456"/>
          </w:tcPr>
          <w:p>
            <w:r>
              <w:t>Peer composite, pre-IPO and venture cohort without ARK Venture Fund</w:t>
            </w:r>
          </w:p>
        </w:tc>
        <w:tc>
          <w:tcPr>
            <w:tcW w:type="dxa" w:w="864"/>
          </w:tcPr>
          <w:p>
            <w:r>
              <w:t>not scored</w:t>
            </w:r>
          </w:p>
        </w:tc>
        <w:tc>
          <w:tcPr>
            <w:tcW w:type="dxa" w:w="3888"/>
          </w:tcPr>
          <w:p>
            <w:r>
              <w:t>composite refused: fewer than 3 peers remain after leaving ARK Venture Fund out (2: Destiny Tech100 Inc, Neostellar Capital Corp.)</w:t>
            </w:r>
          </w:p>
        </w:tc>
      </w:tr>
      <w:tr>
        <w:tc>
          <w:tcPr>
            <w:tcW w:type="dxa" w:w="1152"/>
          </w:tcPr>
          <w:p>
            <w:r>
              <w:t>rejected</w:t>
            </w:r>
          </w:p>
        </w:tc>
        <w:tc>
          <w:tcPr>
            <w:tcW w:type="dxa" w:w="3456"/>
          </w:tcPr>
          <w:p>
            <w:r>
              <w:t>Listed private equity investable proxy (PSP)</w:t>
            </w:r>
          </w:p>
        </w:tc>
        <w:tc>
          <w:tcPr>
            <w:tcW w:type="dxa" w:w="864"/>
          </w:tcPr>
          <w:p>
            <w:r>
              <w:t>7/12</w:t>
            </w:r>
          </w:p>
        </w:tc>
        <w:tc>
          <w:tcPr>
            <w:tcW w:type="dxa" w:w="3888"/>
          </w:tcPr>
          <w:p>
            <w:r>
              <w:t>rejected: strategy gate (score 7/12 but strategy_match 1/3)</w:t>
            </w:r>
          </w:p>
        </w:tc>
      </w:tr>
      <w:tr>
        <w:tc>
          <w:tcPr>
            <w:tcW w:type="dxa" w:w="1152"/>
          </w:tcPr>
          <w:p>
            <w:r>
              <w:t>rejected</w:t>
            </w:r>
          </w:p>
        </w:tc>
        <w:tc>
          <w:tcPr>
            <w:tcW w:type="dxa" w:w="3456"/>
          </w:tcPr>
          <w:p>
            <w:r>
              <w:t>MSCI World investable proxy (URTH)</w:t>
            </w:r>
          </w:p>
        </w:tc>
        <w:tc>
          <w:tcPr>
            <w:tcW w:type="dxa" w:w="864"/>
          </w:tcPr>
          <w:p>
            <w:r>
              <w:t>7/12</w:t>
            </w:r>
          </w:p>
        </w:tc>
        <w:tc>
          <w:tcPr>
            <w:tcW w:type="dxa" w:w="3888"/>
          </w:tcPr>
          <w:p>
            <w:r>
              <w:t>rejected: strategy gate (score 7/12 but strategy_match 1/3)</w:t>
            </w:r>
          </w:p>
        </w:tc>
      </w:tr>
      <w:tr>
        <w:tc>
          <w:tcPr>
            <w:tcW w:type="dxa" w:w="1152"/>
          </w:tcPr>
          <w:p>
            <w:r>
              <w:t>rejected</w:t>
            </w:r>
          </w:p>
        </w:tc>
        <w:tc>
          <w:tcPr>
            <w:tcW w:type="dxa" w:w="3456"/>
          </w:tcPr>
          <w:p>
            <w:r>
              <w:t>S&amp;P 500 investable proxy (SPY)</w:t>
            </w:r>
          </w:p>
        </w:tc>
        <w:tc>
          <w:tcPr>
            <w:tcW w:type="dxa" w:w="864"/>
          </w:tcPr>
          <w:p>
            <w:r>
              <w:t>7/12</w:t>
            </w:r>
          </w:p>
        </w:tc>
        <w:tc>
          <w:tcPr>
            <w:tcW w:type="dxa" w:w="3888"/>
          </w:tcPr>
          <w:p>
            <w:r>
              <w:t>rejected: strategy gate (score 7/12 but strategy_match 1/3)</w:t>
            </w:r>
          </w:p>
        </w:tc>
      </w:tr>
    </w:tbl>
    <w:p>
      <w:pPr>
        <w:pStyle w:val="Heading1"/>
      </w:pPr>
      <w:r>
        <w:t>Exhibit B. Liquidity match for this plan</w:t>
      </w:r>
    </w:p>
    <w:p>
      <w:r>
        <w:t>Plan: Global management-consulting firm profit-sharing/401(k) plan (~$9.8B, NY).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quarterly with a 5% cap per quarter on outstanding shares.</w:t>
      </w:r>
    </w:p>
    <w:p>
      <w:pPr>
        <w:pStyle w:val="ListBullet"/>
      </w:pPr>
      <w:r>
        <w:t>Facts missing for a structural verdict: gate_history (no gating, suspension or postponement is disclosed, but the tendered-versus-accepted amounts are not printed: the Sep-2024 offer was fully utilized at its cap with proration, if any, not stated (R2-P1-12 rule)). The verdict stays partial until they are typed from the filings.</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 fund (Rule 23c-3)</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no gating, suspension or postponement is disclosed, but the tendered-versus-accepted amounts are not printed: the Sep-2024 offer was fully utilized at its cap with proration, if any, not stated (R2-P1-12 rule)</w:t>
            </w:r>
          </w:p>
        </w:tc>
        <w:tc>
          <w:tcPr>
            <w:tcW w:type="dxa" w:w="1152"/>
          </w:tcPr>
          <w:p>
            <w:r>
              <w:t>3.3</w:t>
            </w:r>
          </w:p>
        </w:tc>
      </w:tr>
      <w:tr>
        <w:tc>
          <w:tcPr>
            <w:tcW w:type="dxa" w:w="2448"/>
          </w:tcPr>
          <w:p>
            <w:r>
              <w:t>Repurchase program status</w:t>
            </w:r>
          </w:p>
        </w:tc>
        <w:tc>
          <w:tcPr>
            <w:tcW w:type="dxa" w:w="5760"/>
          </w:tcPr>
          <w:p>
            <w:r>
              <w:t>not typed: no suspension language in 3.1 or 3.3 as of 2025-07-31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r>
        <w:tc>
          <w:tcPr>
            <w:tcW w:type="dxa" w:w="2448"/>
          </w:tcPr>
          <w:p>
            <w:r>
              <w:t>Fund net assets (for the dollar capacity)</w:t>
            </w:r>
          </w:p>
        </w:tc>
        <w:tc>
          <w:tcPr>
            <w:tcW w:type="dxa" w:w="5760"/>
          </w:tcPr>
          <w:p>
            <w:r>
              <w:t>not typed: aggregate net assets not yet carried into a typed cell. Verification-queue item</w:t>
            </w:r>
          </w:p>
        </w:tc>
        <w:tc>
          <w:tcPr>
            <w:tcW w:type="dxa" w:w="1152"/>
          </w:tcPr>
          <w:p>
            <w:r>
              <w:t>3.6</w:t>
            </w:r>
          </w:p>
        </w:tc>
      </w:tr>
    </w:tbl>
    <w:p>
      <w:pPr>
        <w:pStyle w:val="Heading2"/>
      </w:pPr>
      <w:r>
        <w:t>Scenario (ILLUSTRATIVE, this plan)</w:t>
      </w:r>
    </w:p>
    <w:p>
      <w:r>
        <w:t>Plan inputs (Form 5500): net assets $9.8B, liquidity tail 58.2% of accounts (20,253 separated participants with balances), filed outflow proxy 6.5%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$490.5M): $31.9M/yr = 6.5% of the position per year vs annual wrapper capacity 20%.</w:t>
      </w:r>
    </w:p>
    <w:p>
      <w:r>
        <w:t>Slider assumption (adjustable on the site, not a fact): tail turnover 20%/yr, active turnover 5%/yr, 13.7% of the position per year = $67.3M/yr, shown beside the filed rate, not blended with it.</w:t>
      </w:r>
    </w:p>
    <w:p>
      <w:r>
        <w:t>Stressed (the filed outflow proxy plus the increment the sliders add under stress (tail turnover x2, active turnover x1.5 over the slider assumption)): demand $94.1M/yr = 19.2% of the position. within wrapper capacity (19.2% vs 20%) IF offers are not prorated.</w:t>
      </w:r>
    </w:p>
    <w:p>
      <w:r>
        <w:t>Fund capacity in dollars: not computable, the fund's net assets are not typed in the record (aggregate net assets not yet carried into a typed cell.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6.5%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13.7% of the position per year vs 20% annual wrapper capacity, from tail turnover 20%/yr on the 58.2% of accounts that are separated and active turnover 5%/yr on the rest. Shown beside the filed rate, not blended with it. THIN HEADROOM: the slider assumption consumes over 60% of wrapper capacity, so proration in any oversubscribed window would push the shortfall into the next window.</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plan_consulting_alumni.json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2.75% on net assets</w:t>
            </w:r>
          </w:p>
        </w:tc>
        <w:tc>
          <w:tcPr>
            <w:tcW w:type="dxa" w:w="2880"/>
          </w:tcPr>
          <w:p>
            <w:r>
              <w:t>extracted-unverified</w:t>
            </w:r>
          </w:p>
        </w:tc>
      </w:tr>
      <w:tr>
        <w:tc>
          <w:tcPr>
            <w:tcW w:type="dxa" w:w="2880"/>
          </w:tcPr>
          <w:p>
            <w:r>
              <w:t>2.2 Incentive fee terms</w:t>
            </w:r>
          </w:p>
        </w:tc>
        <w:tc>
          <w:tcPr>
            <w:tcW w:type="dxa" w:w="3600"/>
          </w:tcPr>
          <w:p>
            <w:r>
              <w:t>incentive fee: none</w:t>
            </w:r>
          </w:p>
        </w:tc>
        <w:tc>
          <w:tcPr>
            <w:tcW w:type="dxa" w:w="2880"/>
          </w:tcPr>
          <w:p>
            <w:r>
              <w:t>extracted-unverified</w:t>
            </w:r>
          </w:p>
        </w:tc>
      </w:tr>
      <w:tr>
        <w:tc>
          <w:tcPr>
            <w:tcW w:type="dxa" w:w="2880"/>
          </w:tcPr>
          <w:p>
            <w:r>
              <w:t>2.3 Total expense ratio &amp; waivers</w:t>
            </w:r>
          </w:p>
        </w:tc>
        <w:tc>
          <w:tcPr>
            <w:tcW w:type="dxa" w:w="3600"/>
          </w:tcPr>
          <w:p>
            <w:r>
              <w:t>2.90% expense ratio, net of waivers, 4.39% gross (FY2025)</w:t>
            </w:r>
          </w:p>
        </w:tc>
        <w:tc>
          <w:tcPr>
            <w:tcW w:type="dxa" w:w="2880"/>
          </w:tcPr>
          <w:p>
            <w:r>
              <w:t>extracted-unverified</w:t>
            </w:r>
          </w:p>
        </w:tc>
      </w:tr>
      <w:tr>
        <w:tc>
          <w:tcPr>
            <w:tcW w:type="dxa" w:w="2880"/>
          </w:tcPr>
          <w:p>
            <w:r>
              <w:t>2.4 AFFE</w:t>
            </w:r>
          </w:p>
        </w:tc>
        <w:tc>
          <w:tcPr>
            <w:tcW w:type="dxa" w:w="3600"/>
          </w:tcPr>
          <w:p>
            <w:r>
              <w:t>AFFE 0.01%</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none</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Pre-IPO / venture growth (listed CEF + listed BDC + interval fund) (n=3). Interval fund holding venture/growth, the NAV-priced contrast to the two market-priced members. Pricing-basis mix is the cohort's disclosed core caveat (composite refused).</w:t>
      </w:r>
    </w:p>
    <w:p>
      <w:r>
        <w:t>Cohort placement (pre-IPO and venture cohort): mgmt fee: above the cohort median of 2.5 (n=3, too small for percentile language) | expense ratio (bases differ, see notes): below the cohort median of 4.53 (n=3, too small for percentile language) | repurchase cap: only member with this fact (n=1). Statistics and per-member values are in the cohort artifact, membership rationales in the typed facts.</w:t>
      </w:r>
    </w:p>
    <w:p>
      <w:pPr>
        <w:pStyle w:val="ListBullet"/>
      </w:pPr>
      <w:r>
        <w:t>PRICING-BASIS MIX: some members transact at NAV, others at exchange market price. Return comparisons mix appraisal dynamics with premium/discount dynamics, so composites across this line are refused, not averaged. [typed per product: arkvx: NAV, dxyz: MARKET, ssss: MARKET]</w:t>
      </w:r>
    </w:p>
    <w:p>
      <w:pPr>
        <w:pStyle w:val="ListBullet"/>
      </w:pPr>
      <w:r>
        <w:t>LEVERAGE-REGIME MIX: BDC 150% coverage and non-1940-Act wrappers allow materially more leverage than 1940-Act funds. Fee bases and return volatility are not like-for-like. [typed per product: arkvx: 1940-Act asset-coverage limits, dxyz: 1940-Act asset-coverage limits, ssss: BDC 150% asset-coverage regime]</w:t>
      </w:r>
    </w:p>
    <w:p>
      <w:pPr>
        <w:pStyle w:val="ListBullet"/>
      </w:pPr>
      <w:r>
        <w:t>LIQUIDITY-LAW MIX: Rule 23c-3 obligations, discretionary tenders, and repurchase plans give different worst-case exit rights. Cadence numbers alone overstate comparability. [by wrapper type: arkvx: Rule 23c-3 OBLIGATION (board cannot skip a window), dxyz: continuous exchange dealing, ssss: continuous exchange dealing]</w:t>
      </w:r>
    </w:p>
    <w:p>
      <w:pPr>
        <w:pStyle w:val="ListBullet"/>
      </w:pPr>
      <w:r>
        <w:t>NAV-CADENCE MIX: daily, monthly, and quarterly NAV processes embed different appraisal smoothing. Volatility and drawdown comparisons inherit that difference (see de-smoothing lab). [typed per product: arkvx: daily, dxyz: quarterly, ssss: quarterly]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w:t>
      </w:r>
    </w:p>
    <w:p>
      <w:pPr>
        <w:pStyle w:val="Heading1"/>
      </w:pPr>
      <w:r>
        <w:t>Provenance</w:t>
      </w:r>
    </w:p>
    <w:p>
      <w:r>
        <w:t>Cell status for this product: structured 0, extracted-unverified 27, verified 0, computed 14, partial 2, fetched 1, n/a 11,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