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1.14 vs BKLN (reference, not the benchmark). 1.11 inception 2017-01-26, 8.9 years. 1.12 peer relative wealth ratio 0.95, not a benchmark.</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 expense support +3.12%), two-month period ended 12/31/2019 +2.88%, FY Oct-2019 +4.78%, FY Oct-2018 (2.19)% (incl. support +7.91%), inception-to-Oct-2017 (2.49)% (incl. support +2.95%).</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De-smoothed (Geltner AR1) annualized volatility 6.57% vs 6.07% observed (lag-1 autocorrelation rho 0.075, n=109 monthly returns of the held daily series CADUX, Yahoo adjusted close, approximates NAV total return with distributions reinvested).</w:t>
            </w:r>
          </w:p>
          <w:p>
            <w:r>
              <w:t>1.8 Risk-adjusted metrics (PME etc) (computed): Meaningful benchmark (paragraph (k)), Cliffwater Direct Lending Index (CDLI) scored 8/12: no comparison computed (cited, series not in the record: no comparison computed).</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1.12 Peer comparison (paragraphs (g) and (h)) (computed): Peer comparison (paragraphs (g) and (h)): private credit cohort, peers Cliffwater Corporate Lending Fund, Blackstone Private Credit Fund, PIMCO Flexible Credit Income Fund, Blue Owl Credit Income Corp., fund return basis Yahoo adjusted close, approximates NAV total return (CADUX).</w:t>
            </w:r>
          </w:p>
          <w:p>
            <w:r>
              <w:t>Not applicable: 1.10 unlisted).</w:t>
            </w:r>
          </w:p>
        </w:tc>
      </w:tr>
      <w:tr>
        <w:tc>
          <w:tcPr>
            <w:tcW w:type="dxa" w:w="1728"/>
          </w:tcPr>
          <w:p>
            <w:r>
              <w:t>2. Fees (h)</w:t>
            </w:r>
          </w:p>
        </w:tc>
        <w:tc>
          <w:tcPr>
            <w:tcW w:type="dxa" w:w="7632"/>
          </w:tcPr>
          <w:p>
            <w:r>
              <w:t>Typed facts: 2.1 1.25% on managed assets (leverage-inclusive). 2.2 incentive fee: 15% / 6% hurdle. 2.3 3.76% expense ratio, excluding interest expense (6.90% including interest per the fee table), no contractual cap (FY2025, Class I).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 management fee, administration reimbursements and preferred interest/distributions, but excluding the incentive fee), calculated and payable quarterly in arrears.</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 credit cohort):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quarterly dealing, 5% cap per quarter on outstanding shares. 3.3 no gating identified in the filings on record. 3.6 $5.2B net assets. 3.9 structural verdict conditional, plan-independent.</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20% annual wrapper capacity, within wrapper capacity (19.2% vs 20%) IF offers are not prorated. Source: this plan's liquidity match.</w:t>
            </w:r>
          </w:p>
          <w:p>
            <w:r>
              <w:t>3.9 Product-to-plan liquidity match (computed, this plan): Structural liquidity verdict CONDITIONAL (typed facts, plan-independent). Scenario verdict under this plan (ILLUSTRATIVE): CONDITIONAL. Source: this plan's liquidity match.</w:t>
            </w:r>
          </w:p>
          <w:p>
            <w:r>
              <w:t>Not applicable: 3.5 documented-unavailable.</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lag-1 autocorrelation rho 0.075 on n=109 monthly returns of CADUX (Yahoo adjusted close, approximates NAV total return with distributions reinvested), observed annualized volatility 6.07% vs de-smoothed 6.57%.</w:t>
            </w:r>
          </w:p>
          <w:p>
            <w:r>
              <w:t>Not applicable: 4.7 documented-unavailable. 4.9 documented-unavailable.</w:t>
            </w:r>
          </w:p>
        </w:tc>
      </w:tr>
      <w:tr>
        <w:tc>
          <w:tcPr>
            <w:tcW w:type="dxa" w:w="1728"/>
          </w:tcPr>
          <w:p>
            <w:r>
              <w:t>5. Performance Benchmarks (k)</w:t>
            </w:r>
          </w:p>
        </w:tc>
        <w:tc>
          <w:tcPr>
            <w:tcW w:type="dxa" w:w="7632"/>
          </w:tcPr>
          <w:p>
            <w:r>
              <w:t>Typed facts: 5.3 CDLI selected, 8/12.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reference comparison, not the meaningful benchmark):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 mezzanine, mortgages, distressed); US and European direct lending, high yield, structured credit/CLOs, real estate debt; predominantly below investment grade ('junk') — 'an investment in the Fund should be considered speculative.' Uses leverage (3 revolvers + 12 MRPS series), interest-rate swaps, credit default swaps (buy and sell protection), FX forwards, short sales, PIK income ($88,235K PIK interest+dividends in FY2025), foreign currencies, unfunded commitments.</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 ($3,909K); transfer agent SS&amp;C GIDS, Inc. ($1,450K); custodian State Street Bank and Trust Company (also a lender via the State Street Credit Facility); distributor ALPS Distributors, Inc.; affiliated dealer manager/wholesale marketing agent CION Securities, LLC; auditor Ernst &amp; Young LLP; counsel Willkie Farr &amp; Gallagher LLP; swap counterparty Goldman Sachs International; lenders Wells Fargo (facility) and BNP.</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r>
        <w:t>Return basis for every comparison in this section: Yahoo adjusted close, approximates NAV total return (CADUX).</w:t>
      </w:r>
    </w:p>
    <w:p>
      <w:pPr>
        <w:pStyle w:val="Heading2"/>
      </w:pPr>
      <w:r>
        <w:t>Meaningful benchmark (paragraph (k)): Cliffwater Direct Lending Index (CDLI) (score 8/12)</w:t>
      </w:r>
    </w:p>
    <w:p>
      <w:r>
        <w:t>Comparison not computed: cited, series not in the record: no comparison computed. The candidate is selected on its own descriptors. No number is substituted.</w:t>
      </w:r>
    </w:p>
    <w:p>
      <w:r>
        <w:t>Tied on score with Senior loan investable proxy (BKLN, for Morningstar LSTA class): ordered by strategy_match, then risk_liquidity_match, then data held, then alphabetical.</w:t>
      </w:r>
    </w:p>
    <w:p>
      <w:pPr>
        <w:pStyle w:val="ListBullet"/>
      </w:pPr>
      <w:r>
        <w:t>strategy_match 2/3: same asset class, different sub-strategy (direct lending vs diversified credit)</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(Cliffwater):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Senior loan investable proxy (BKLN, for Morningstar LSTA class)</w:t>
      </w:r>
    </w:p>
    <w:p>
      <w:r>
        <w:t>Reference comparison on the highest-ranked held public market series: not the meaningful benchmark.</w:t>
      </w:r>
    </w:p>
    <w:p>
      <w:r>
        <w:t>Window 2018-07-18 to 2026-07-17 (clipped: proxy series begins 2018-07-18, proxy series ends 2026-07-17): fund 6.08%/yr (Yahoo adjusted close, approximates NAV total return) vs the public series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Heading2"/>
      </w:pPr>
      <w:r>
        <w:t>Declared benchmark and SEC-required comparators (cell 5.1)</w:t>
      </w:r>
    </w:p>
    <w:p>
      <w:r>
        <w:t>SEC-required comparator: Credit Suisse Leveraged Loan Index, cited, not held, scored 6/12, below the threshold. The declaration itself earns no points.</w:t>
      </w:r>
    </w:p>
    <w:p>
      <w:r>
        <w:t>No comparison: cited, series not in the record: no comparison computed.</w:t>
      </w:r>
    </w:p>
    <w:p>
      <w:r>
        <w:t>Declared benchmark: none. cell 5.1: the index is named in the annual report's required performance presentation as the broad-based securities market index, not as a benchmark the fund is managed to.</w:t>
      </w:r>
    </w:p>
    <w:p>
      <w:pPr>
        <w:pStyle w:val="Heading2"/>
      </w:pPr>
      <w:r>
        <w:t>Peer comparison (paragraphs (g) and (h)): private credit cohort</w:t>
      </w:r>
    </w:p>
    <w:p>
      <w:r>
        <w:t>Peers: Cliffwater Corporate Lending Fund, Blackstone Private Credit Fund, PIMCO Flexible Credit Income Fund, Blue Owl Credit Income Corp.. This is the history of similar investments, not the benchmark, and it is never a public market equivalent.</w:t>
      </w:r>
    </w:p>
    <w:p>
      <w:r>
        <w:t>Window 2021 to 2025 (5 calendar-year period(s), n=4 peers in every period): fund 7.34%/yr (Yahoo adjusted close, approximates NAV total return) vs the peer composite 8.44%/yr, relative wealth ratio 0.9503, annualized excess return -1.01%/yr.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Cliffwater Corporate Lending Fund: Yahoo adjusted close, approximates NAV total return; Blackstone Private Credit Fund: filed calendar-year returns (December fiscal year); PIMCO Flexible Credit Income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CION Ares Diversified Credit Fund</w:t>
            </w:r>
          </w:p>
        </w:tc>
        <w:tc>
          <w:tcPr>
            <w:tcW w:type="dxa" w:w="1337"/>
          </w:tcPr>
          <w:p>
            <w:r>
              <w:t>Cliffwater Corporate Lending Fund</w:t>
            </w:r>
          </w:p>
        </w:tc>
        <w:tc>
          <w:tcPr>
            <w:tcW w:type="dxa" w:w="1337"/>
          </w:tcPr>
          <w:p>
            <w:r>
              <w:t>Blackstone Private Credit Fund</w:t>
            </w:r>
          </w:p>
        </w:tc>
        <w:tc>
          <w:tcPr>
            <w:tcW w:type="dxa" w:w="1337"/>
          </w:tcPr>
          <w:p>
            <w:r>
              <w:t>PIMCO Flexible Credit Income Fund</w:t>
            </w:r>
          </w:p>
        </w:tc>
        <w:tc>
          <w:tcPr>
            <w:tcW w:type="dxa" w:w="1337"/>
          </w:tcPr>
          <w:p>
            <w:r>
              <w:t>Blue Owl Credit Income Corp.</w:t>
            </w:r>
          </w:p>
        </w:tc>
      </w:tr>
      <w:tr>
        <w:tc>
          <w:tcPr>
            <w:tcW w:type="dxa" w:w="1337"/>
          </w:tcPr>
          <w:p>
            <w:r>
              <w:t>2018</w:t>
            </w:r>
          </w:p>
        </w:tc>
        <w:tc>
          <w:tcPr>
            <w:tcW w:type="dxa" w:w="1337"/>
          </w:tcPr>
          <w:p>
            <w:r>
              <w:t>2</w:t>
            </w:r>
          </w:p>
        </w:tc>
        <w:tc>
          <w:tcPr>
            <w:tcW w:type="dxa" w:w="1337"/>
          </w:tcPr>
          <w:p>
            <w:r>
              <w:t>4.45%</w:t>
            </w:r>
          </w:p>
        </w:tc>
        <w:tc>
          <w:tcPr>
            <w:tcW w:type="dxa" w:w="1337"/>
          </w:tcPr>
          <w:p>
            <w:r>
              <w:t>n/a</w:t>
            </w:r>
          </w:p>
        </w:tc>
        <w:tc>
          <w:tcPr>
            <w:tcW w:type="dxa" w:w="1337"/>
          </w:tcPr>
          <w:p>
            <w:r>
              <w:t>n/a</w:t>
            </w:r>
          </w:p>
        </w:tc>
        <w:tc>
          <w:tcPr>
            <w:tcW w:type="dxa" w:w="1337"/>
          </w:tcPr>
          <w:p>
            <w:r>
              <w:t>2.86%</w:t>
            </w:r>
          </w:p>
        </w:tc>
        <w:tc>
          <w:tcPr>
            <w:tcW w:type="dxa" w:w="1337"/>
          </w:tcPr>
          <w:p>
            <w:r>
              <w:t>n/a</w:t>
            </w:r>
          </w:p>
        </w:tc>
      </w:tr>
      <w:tr>
        <w:tc>
          <w:tcPr>
            <w:tcW w:type="dxa" w:w="1337"/>
          </w:tcPr>
          <w:p>
            <w:r>
              <w:t>2019</w:t>
            </w:r>
          </w:p>
        </w:tc>
        <w:tc>
          <w:tcPr>
            <w:tcW w:type="dxa" w:w="1337"/>
          </w:tcPr>
          <w:p>
            <w:r>
              <w:t>2</w:t>
            </w:r>
          </w:p>
        </w:tc>
        <w:tc>
          <w:tcPr>
            <w:tcW w:type="dxa" w:w="1337"/>
          </w:tcPr>
          <w:p>
            <w:r>
              <w:t>9.5%</w:t>
            </w:r>
          </w:p>
        </w:tc>
        <w:tc>
          <w:tcPr>
            <w:tcW w:type="dxa" w:w="1337"/>
          </w:tcPr>
          <w:p>
            <w:r>
              <w:t>n/a</w:t>
            </w:r>
          </w:p>
        </w:tc>
        <w:tc>
          <w:tcPr>
            <w:tcW w:type="dxa" w:w="1337"/>
          </w:tcPr>
          <w:p>
            <w:r>
              <w:t>n/a</w:t>
            </w:r>
          </w:p>
        </w:tc>
        <w:tc>
          <w:tcPr>
            <w:tcW w:type="dxa" w:w="1337"/>
          </w:tcPr>
          <w:p>
            <w:r>
              <w:t>10.63%</w:t>
            </w:r>
          </w:p>
        </w:tc>
        <w:tc>
          <w:tcPr>
            <w:tcW w:type="dxa" w:w="1337"/>
          </w:tcPr>
          <w:p>
            <w:r>
              <w:t>n/a</w:t>
            </w:r>
          </w:p>
        </w:tc>
      </w:tr>
      <w:tr>
        <w:tc>
          <w:tcPr>
            <w:tcW w:type="dxa" w:w="1337"/>
          </w:tcPr>
          <w:p>
            <w:r>
              <w:t>2020</w:t>
            </w:r>
          </w:p>
        </w:tc>
        <w:tc>
          <w:tcPr>
            <w:tcW w:type="dxa" w:w="1337"/>
          </w:tcPr>
          <w:p>
            <w:r>
              <w:t>3</w:t>
            </w:r>
          </w:p>
        </w:tc>
        <w:tc>
          <w:tcPr>
            <w:tcW w:type="dxa" w:w="1337"/>
          </w:tcPr>
          <w:p>
            <w:r>
              <w:t>2.79%</w:t>
            </w:r>
          </w:p>
        </w:tc>
        <w:tc>
          <w:tcPr>
            <w:tcW w:type="dxa" w:w="1337"/>
          </w:tcPr>
          <w:p>
            <w:r>
              <w:t>5.39%</w:t>
            </w:r>
          </w:p>
        </w:tc>
        <w:tc>
          <w:tcPr>
            <w:tcW w:type="dxa" w:w="1337"/>
          </w:tcPr>
          <w:p>
            <w:r>
              <w:t>n/a</w:t>
            </w:r>
          </w:p>
        </w:tc>
        <w:tc>
          <w:tcPr>
            <w:tcW w:type="dxa" w:w="1337"/>
          </w:tcPr>
          <w:p>
            <w:r>
              <w:t>4.29%</w:t>
            </w:r>
          </w:p>
        </w:tc>
        <w:tc>
          <w:tcPr>
            <w:tcW w:type="dxa" w:w="1337"/>
          </w:tcPr>
          <w:p>
            <w:r>
              <w:t>n/a</w:t>
            </w:r>
          </w:p>
        </w:tc>
      </w:tr>
      <w:tr>
        <w:tc>
          <w:tcPr>
            <w:tcW w:type="dxa" w:w="1337"/>
          </w:tcPr>
          <w:p>
            <w:r>
              <w:t>2021</w:t>
            </w:r>
          </w:p>
        </w:tc>
        <w:tc>
          <w:tcPr>
            <w:tcW w:type="dxa" w:w="1337"/>
          </w:tcPr>
          <w:p>
            <w:r>
              <w:t>5</w:t>
            </w:r>
          </w:p>
        </w:tc>
        <w:tc>
          <w:tcPr>
            <w:tcW w:type="dxa" w:w="1337"/>
          </w:tcPr>
          <w:p>
            <w:r>
              <w:t>9.21%</w:t>
            </w:r>
          </w:p>
        </w:tc>
        <w:tc>
          <w:tcPr>
            <w:tcW w:type="dxa" w:w="1337"/>
          </w:tcPr>
          <w:p>
            <w:r>
              <w:t>10.38%</w:t>
            </w:r>
          </w:p>
        </w:tc>
        <w:tc>
          <w:tcPr>
            <w:tcW w:type="dxa" w:w="1337"/>
          </w:tcPr>
          <w:p>
            <w:r>
              <w:t>12.6%</w:t>
            </w:r>
          </w:p>
        </w:tc>
        <w:tc>
          <w:tcPr>
            <w:tcW w:type="dxa" w:w="1337"/>
          </w:tcPr>
          <w:p>
            <w:r>
              <w:t>11.29%</w:t>
            </w:r>
          </w:p>
        </w:tc>
        <w:tc>
          <w:tcPr>
            <w:tcW w:type="dxa" w:w="1337"/>
          </w:tcPr>
          <w:p>
            <w:r>
              <w:t>4.3%</w:t>
            </w:r>
          </w:p>
        </w:tc>
      </w:tr>
      <w:tr>
        <w:tc>
          <w:tcPr>
            <w:tcW w:type="dxa" w:w="1337"/>
          </w:tcPr>
          <w:p>
            <w:r>
              <w:t>2022</w:t>
            </w:r>
          </w:p>
        </w:tc>
        <w:tc>
          <w:tcPr>
            <w:tcW w:type="dxa" w:w="1337"/>
          </w:tcPr>
          <w:p>
            <w:r>
              <w:t>5</w:t>
            </w:r>
          </w:p>
        </w:tc>
        <w:tc>
          <w:tcPr>
            <w:tcW w:type="dxa" w:w="1337"/>
          </w:tcPr>
          <w:p>
            <w:r>
              <w:t>-2.85%</w:t>
            </w:r>
          </w:p>
        </w:tc>
        <w:tc>
          <w:tcPr>
            <w:tcW w:type="dxa" w:w="1337"/>
          </w:tcPr>
          <w:p>
            <w:r>
              <w:t>2.05%</w:t>
            </w:r>
          </w:p>
        </w:tc>
        <w:tc>
          <w:tcPr>
            <w:tcW w:type="dxa" w:w="1337"/>
          </w:tcPr>
          <w:p>
            <w:r>
              <w:t>3.6%</w:t>
            </w:r>
          </w:p>
        </w:tc>
        <w:tc>
          <w:tcPr>
            <w:tcW w:type="dxa" w:w="1337"/>
          </w:tcPr>
          <w:p>
            <w:r>
              <w:t>-15.36%</w:t>
            </w:r>
          </w:p>
        </w:tc>
        <w:tc>
          <w:tcPr>
            <w:tcW w:type="dxa" w:w="1337"/>
          </w:tcPr>
          <w:p>
            <w:r>
              <w:t>5.2%</w:t>
            </w:r>
          </w:p>
        </w:tc>
      </w:tr>
      <w:tr>
        <w:tc>
          <w:tcPr>
            <w:tcW w:type="dxa" w:w="1337"/>
          </w:tcPr>
          <w:p>
            <w:r>
              <w:t>2023</w:t>
            </w:r>
          </w:p>
        </w:tc>
        <w:tc>
          <w:tcPr>
            <w:tcW w:type="dxa" w:w="1337"/>
          </w:tcPr>
          <w:p>
            <w:r>
              <w:t>5</w:t>
            </w:r>
          </w:p>
        </w:tc>
        <w:tc>
          <w:tcPr>
            <w:tcW w:type="dxa" w:w="1337"/>
          </w:tcPr>
          <w:p>
            <w:r>
              <w:t>12.99%</w:t>
            </w:r>
          </w:p>
        </w:tc>
        <w:tc>
          <w:tcPr>
            <w:tcW w:type="dxa" w:w="1337"/>
          </w:tcPr>
          <w:p>
            <w:r>
              <w:t>12.66%</w:t>
            </w:r>
          </w:p>
        </w:tc>
        <w:tc>
          <w:tcPr>
            <w:tcW w:type="dxa" w:w="1337"/>
          </w:tcPr>
          <w:p>
            <w:r>
              <w:t>14.4%</w:t>
            </w:r>
          </w:p>
        </w:tc>
        <w:tc>
          <w:tcPr>
            <w:tcW w:type="dxa" w:w="1337"/>
          </w:tcPr>
          <w:p>
            <w:r>
              <w:t>9.25%</w:t>
            </w:r>
          </w:p>
        </w:tc>
        <w:tc>
          <w:tcPr>
            <w:tcW w:type="dxa" w:w="1337"/>
          </w:tcPr>
          <w:p>
            <w:r>
              <w:t>13.5%</w:t>
            </w:r>
          </w:p>
        </w:tc>
      </w:tr>
      <w:tr>
        <w:tc>
          <w:tcPr>
            <w:tcW w:type="dxa" w:w="1337"/>
          </w:tcPr>
          <w:p>
            <w:r>
              <w:t>2024</w:t>
            </w:r>
          </w:p>
        </w:tc>
        <w:tc>
          <w:tcPr>
            <w:tcW w:type="dxa" w:w="1337"/>
          </w:tcPr>
          <w:p>
            <w:r>
              <w:t>5</w:t>
            </w:r>
          </w:p>
        </w:tc>
        <w:tc>
          <w:tcPr>
            <w:tcW w:type="dxa" w:w="1337"/>
          </w:tcPr>
          <w:p>
            <w:r>
              <w:t>10.39%</w:t>
            </w:r>
          </w:p>
        </w:tc>
        <w:tc>
          <w:tcPr>
            <w:tcW w:type="dxa" w:w="1337"/>
          </w:tcPr>
          <w:p>
            <w:r>
              <w:t>12.62%</w:t>
            </w:r>
          </w:p>
        </w:tc>
        <w:tc>
          <w:tcPr>
            <w:tcW w:type="dxa" w:w="1337"/>
          </w:tcPr>
          <w:p>
            <w:r>
              <w:t>11%</w:t>
            </w:r>
          </w:p>
        </w:tc>
        <w:tc>
          <w:tcPr>
            <w:tcW w:type="dxa" w:w="1337"/>
          </w:tcPr>
          <w:p>
            <w:r>
              <w:t>15.27%</w:t>
            </w:r>
          </w:p>
        </w:tc>
        <w:tc>
          <w:tcPr>
            <w:tcW w:type="dxa" w:w="1337"/>
          </w:tcPr>
          <w:p>
            <w:r>
              <w:t>11.5%</w:t>
            </w:r>
          </w:p>
        </w:tc>
      </w:tr>
      <w:tr>
        <w:tc>
          <w:tcPr>
            <w:tcW w:type="dxa" w:w="1337"/>
          </w:tcPr>
          <w:p>
            <w:r>
              <w:t>2025</w:t>
            </w:r>
          </w:p>
        </w:tc>
        <w:tc>
          <w:tcPr>
            <w:tcW w:type="dxa" w:w="1337"/>
          </w:tcPr>
          <w:p>
            <w:r>
              <w:t>5</w:t>
            </w:r>
          </w:p>
        </w:tc>
        <w:tc>
          <w:tcPr>
            <w:tcW w:type="dxa" w:w="1337"/>
          </w:tcPr>
          <w:p>
            <w:r>
              <w:t>7.69%</w:t>
            </w:r>
          </w:p>
        </w:tc>
        <w:tc>
          <w:tcPr>
            <w:tcW w:type="dxa" w:w="1337"/>
          </w:tcPr>
          <w:p>
            <w:r>
              <w:t>8.92%</w:t>
            </w:r>
          </w:p>
        </w:tc>
        <w:tc>
          <w:tcPr>
            <w:tcW w:type="dxa" w:w="1337"/>
          </w:tcPr>
          <w:p>
            <w:r>
              <w:t>8%</w:t>
            </w:r>
          </w:p>
        </w:tc>
        <w:tc>
          <w:tcPr>
            <w:tcW w:type="dxa" w:w="1337"/>
          </w:tcPr>
          <w:p>
            <w:r>
              <w:t>12.2%</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Senior loan investable proxy (BKLN, for Morningstar LSTA class)</w:t>
            </w:r>
          </w:p>
        </w:tc>
        <w:tc>
          <w:tcPr>
            <w:tcW w:type="dxa" w:w="1008"/>
          </w:tcPr>
          <w:p>
            <w:r>
              <w:t>8/12</w:t>
            </w:r>
          </w:p>
        </w:tc>
        <w:tc>
          <w:tcPr>
            <w:tcW w:type="dxa" w:w="5472"/>
          </w:tcPr>
          <w:p>
            <w:r>
              <w:t>tied: tied on score, ordered by strategy_match, then risk_liquidity_match, then data held, then alphabetical (score 8/12, selected CDLI)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Morningstar LSTA class):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approx. $5.2B</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$1.0B per year (20% of approx. $5.2B net assets, cell 3.6). The plan's demand at the filed rate is $31.9M per year, 3.09%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approx. $5.2B net assets (cell 3.6) is $1.0B per year. At a 5% allocation ($490.5M) the plan's demand at the filed rate is $31.9M per year, 3.09%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plan_consulting_alumni.json (Form 5500, plan year 2024-01-01 to 2024-12-31).</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t>
      </w:r>
    </w:p>
    <w:p>
      <w:r>
        <w:t>Meaningful benchmark (paragraph (k)): Cliffwater Direct Lending Index (CDLI) at 8/12, cited, series not in the record. Peer comparison (paragraphs (g) and (h)): relative wealth ratio 0.9503 vs the equal-weight peer composite over 2021 to 2025 (n=4), not a benchmark and not a PME.</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12, partial 11, fetched 0, n/a 9, pending 0. 46 of 46 resolvable, 0 verified, 9 n/a by wrapper.</w:t>
      </w:r>
    </w:p>
    <w:p>
      <w:r>
        <w:t>Of the 46 evidenced cells, 46 carry a source document, 46 a section, 34 a verbatim quote (computed cells carry their computation and inputs instead of a quote) and 46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1.12</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(4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