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Cliffwater Corporate Lending Fund (TRUE interval fund (Rule 23c-3), private credit, CIK 1735964)</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Senior loan investable proxy (BKLN, for Morningstar LSTA class) at 8/12, KS-PME 1.2532, Direct Alpha 3.22%/yr over 2019-06-05 to 2026-07-17.</w:t>
      </w:r>
    </w:p>
    <w:p>
      <w:r>
        <w:t>Peer comparison (paragraphs (g) and (h)): relative wealth ratio 1.0613, annualized excess return 1.2%/yr (not a public market equivalent) vs the peer composite over 2021 to 2025 (n=4), not a benchmark.</w:t>
      </w:r>
    </w:p>
    <w:p>
      <w:r>
        <w:t>Flags raised by the record (each restates a typed value or verdict, with its source):</w:t>
      </w:r>
    </w:p>
    <w:p>
      <w:pPr>
        <w:pStyle w:val="ListBullet"/>
      </w:pPr>
      <w:r>
        <w:t>Liquidity: structural verdict partial, facts missing: gate_history (cells 3.1, 3.3)</w:t>
      </w:r>
    </w:p>
    <w:p>
      <w:r>
        <w:t>Evidence coverage: 45 of 45 resolvable, 0 verified, 10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8/12.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Senior loan investable proxy (BKLN, for Morningstar LSTA class)</w:t>
            </w:r>
          </w:p>
        </w:tc>
        <w:tc>
          <w:tcPr>
            <w:tcW w:type="dxa" w:w="864"/>
          </w:tcPr>
          <w:p>
            <w:r>
              <w:t>8/12</w:t>
            </w:r>
          </w:p>
        </w:tc>
        <w:tc>
          <w:tcPr>
            <w:tcW w:type="dxa" w:w="3888"/>
          </w:tcPr>
          <w:p>
            <w:r>
              <w:t>KS-PME 1.2532, Direct Alpha 3.22%/yr, 2019-06-05 to 2026-07-17</w:t>
            </w:r>
          </w:p>
        </w:tc>
      </w:tr>
      <w:tr>
        <w:tc>
          <w:tcPr>
            <w:tcW w:type="dxa" w:w="1152"/>
          </w:tcPr>
          <w:p>
            <w:r>
              <w:t>SEC-required comparator</w:t>
            </w:r>
          </w:p>
        </w:tc>
        <w:tc>
          <w:tcPr>
            <w:tcW w:type="dxa" w:w="3456"/>
          </w:tcPr>
          <w:p>
            <w:r>
              <w:t>Morningstar LSTA US Leveraged Loan</w:t>
            </w:r>
          </w:p>
        </w:tc>
        <w:tc>
          <w:tcPr>
            <w:tcW w:type="dxa" w:w="864"/>
          </w:tcPr>
          <w:p>
            <w:r/>
          </w:p>
        </w:tc>
        <w:tc>
          <w:tcPr>
            <w:tcW w:type="dxa" w:w="3888"/>
          </w:tcPr>
          <w:p>
            <w:r>
              <w:t>cited, not held, scored 6/12, below the threshold</w:t>
            </w:r>
          </w:p>
        </w:tc>
      </w:tr>
      <w:tr>
        <w:tc>
          <w:tcPr>
            <w:tcW w:type="dxa" w:w="1152"/>
          </w:tcPr>
          <w:p>
            <w:r>
              <w:t>SEC-required comparator</w:t>
            </w:r>
          </w:p>
        </w:tc>
        <w:tc>
          <w:tcPr>
            <w:tcW w:type="dxa" w:w="3456"/>
          </w:tcPr>
          <w:p>
            <w:r>
              <w:t>Bloomberg US Aggregate</w:t>
            </w:r>
          </w:p>
        </w:tc>
        <w:tc>
          <w:tcPr>
            <w:tcW w:type="dxa" w:w="864"/>
          </w:tcPr>
          <w:p>
            <w:r/>
          </w:p>
        </w:tc>
        <w:tc>
          <w:tcPr>
            <w:tcW w:type="dxa" w:w="3888"/>
          </w:tcPr>
          <w:p>
            <w:r>
              <w:t>cited, not held, scored 6/12, below the threshold</w:t>
            </w:r>
          </w:p>
        </w:tc>
      </w:tr>
      <w:tr>
        <w:tc>
          <w:tcPr>
            <w:tcW w:type="dxa" w:w="1152"/>
          </w:tcPr>
          <w:p>
            <w:r>
              <w:t>Peer comparison (paragraphs (g) and (h))</w:t>
            </w:r>
          </w:p>
        </w:tc>
        <w:tc>
          <w:tcPr>
            <w:tcW w:type="dxa" w:w="3456"/>
          </w:tcPr>
          <w:p>
            <w:r>
              <w:t>Peer composite, private credit cohort without Cliffwater Corporate Lending Fund</w:t>
            </w:r>
          </w:p>
        </w:tc>
        <w:tc>
          <w:tcPr>
            <w:tcW w:type="dxa" w:w="864"/>
          </w:tcPr>
          <w:p>
            <w:r>
              <w:t>not scored</w:t>
            </w:r>
          </w:p>
        </w:tc>
        <w:tc>
          <w:tcPr>
            <w:tcW w:type="dxa" w:w="3888"/>
          </w:tcPr>
          <w:p>
            <w:r>
              <w:t>relative wealth ratio 1.0613, annualized excess return 1.2%/yr (not a public market equivalent), 2021 to 2025 (n=4)</w:t>
            </w:r>
          </w:p>
        </w:tc>
      </w:tr>
      <w:tr>
        <w:tc>
          <w:tcPr>
            <w:tcW w:type="dxa" w:w="1152"/>
          </w:tcPr>
          <w:p>
            <w:r>
              <w:t>rejected</w:t>
            </w:r>
          </w:p>
        </w:tc>
        <w:tc>
          <w:tcPr>
            <w:tcW w:type="dxa" w:w="3456"/>
          </w:tcPr>
          <w:p>
            <w:r>
              <w:t>Cliffwater Direct Lending Index (CDLI)</w:t>
            </w:r>
          </w:p>
        </w:tc>
        <w:tc>
          <w:tcPr>
            <w:tcW w:type="dxa" w:w="864"/>
          </w:tcPr>
          <w:p>
            <w:r>
              <w:t>7/12</w:t>
            </w:r>
          </w:p>
        </w:tc>
        <w:tc>
          <w:tcPr>
            <w:tcW w:type="dxa" w:w="3888"/>
          </w:tcPr>
          <w:p>
            <w:r>
              <w:t>rejected: affiliated provider (score 7/12), an index published by the fund's own adviser is ineligible for the meaningful-benchmark slot</w:t>
            </w:r>
          </w:p>
        </w:tc>
      </w:tr>
      <w:tr>
        <w:tc>
          <w:tcPr>
            <w:tcW w:type="dxa" w:w="1152"/>
          </w:tcPr>
          <w:p>
            <w:r>
              <w:t>rejected</w:t>
            </w:r>
          </w:p>
        </w:tc>
        <w:tc>
          <w:tcPr>
            <w:tcW w:type="dxa" w:w="3456"/>
          </w:tcPr>
          <w:p>
            <w:r>
              <w:t>Bloomberg US Aggregate Bond Index</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net assets ~$31.26B printed, but the carrying cells (1.1/3.6) are partial - verification unlocks this fact</w:t>
            </w:r>
          </w:p>
        </w:tc>
        <w:tc>
          <w:tcPr>
            <w:tcW w:type="dxa" w:w="1152"/>
          </w:tcPr>
          <w:p>
            <w:r>
              <w:t>3.4</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not computable, the fund's net assets are not typed in the record (net assets ~$31.26B printed, but the carrying cells (1.1/3.6) are partial - verification unlocks this fact),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1.00% on net assets</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1.36% expense ratio, before waivers, excluding interest expense (3.31% including interest, FY2026)</w:t>
            </w:r>
          </w:p>
        </w:tc>
        <w:tc>
          <w:tcPr>
            <w:tcW w:type="dxa" w:w="2880"/>
          </w:tcPr>
          <w:p>
            <w:r>
              <w:t>extracted-unverified</w:t>
            </w:r>
          </w:p>
        </w:tc>
      </w:tr>
      <w:tr>
        <w:tc>
          <w:tcPr>
            <w:tcW w:type="dxa" w:w="2880"/>
          </w:tcPr>
          <w:p>
            <w:r>
              <w:t>2.4 AFFE</w:t>
            </w:r>
          </w:p>
        </w:tc>
        <w:tc>
          <w:tcPr>
            <w:tcW w:type="dxa" w:w="3600"/>
          </w:tcPr>
          <w:p>
            <w:r>
              <w:t>AFFE 0.25%</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Private credit (interval fund + non-traded BDC) (n=5).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23, verified 0, computed 13, partial 7, fetched 2, n/a 10,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