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Destiny Tech100 Inc (listed closed-end fund (NYSE: DXYZ), CIK 1843974)</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Peer comparison (paragraphs (g) and (h)): composite refused, fewer than 3 peers remain after leaving Destiny Tech100 Inc out (2: Neostellar Capital Corp., ARK Venture Fund).</w:t>
      </w:r>
    </w:p>
    <w:p>
      <w:r>
        <w:t>Flags raised by the record (each restates a typed value or verdict,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Destiny Tech100 Inc out (2: Neostellar Capital Corp., ARK Venture Fund) (cell 1.12)</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declared benchmark</w:t>
            </w:r>
          </w:p>
        </w:tc>
        <w:tc>
          <w:tcPr>
            <w:tcW w:type="dxa" w:w="3456"/>
          </w:tcPr>
          <w:p>
            <w:r>
              <w:t>NASDAQ Composite Index</w:t>
            </w:r>
          </w:p>
        </w:tc>
        <w:tc>
          <w:tcPr>
            <w:tcW w:type="dxa" w:w="864"/>
          </w:tcPr>
          <w:p>
            <w:r/>
          </w:p>
        </w:tc>
        <w:tc>
          <w:tcPr>
            <w:tcW w:type="dxa" w:w="3888"/>
          </w:tcPr>
          <w:p>
            <w:r>
              <w:t>cited, not held, scored 5/12, fund price decoupled from NAV</w:t>
            </w:r>
          </w:p>
        </w:tc>
      </w:tr>
      <w:tr>
        <w:tc>
          <w:tcPr>
            <w:tcW w:type="dxa" w:w="1152"/>
          </w:tcPr>
          <w:p>
            <w:r>
              <w:t>Peer comparison (paragraphs (g) and (h))</w:t>
            </w:r>
          </w:p>
        </w:tc>
        <w:tc>
          <w:tcPr>
            <w:tcW w:type="dxa" w:w="3456"/>
          </w:tcPr>
          <w:p>
            <w:r>
              <w:t>Peer composite, pre-IPO and venture cohort without Destiny Tech100 Inc</w:t>
            </w:r>
          </w:p>
        </w:tc>
        <w:tc>
          <w:tcPr>
            <w:tcW w:type="dxa" w:w="864"/>
          </w:tcPr>
          <w:p>
            <w:r>
              <w:t>not scored</w:t>
            </w:r>
          </w:p>
        </w:tc>
        <w:tc>
          <w:tcPr>
            <w:tcW w:type="dxa" w:w="3888"/>
          </w:tcPr>
          <w:p>
            <w:r>
              <w:t>composite refused: fewer than 3 peers remain after leaving Destiny Tech100 Inc out (2: Neostellar Capital Corp., ARK Venture Fund)</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NASDAQ Composite Index</w:t>
            </w:r>
          </w:p>
        </w:tc>
        <w:tc>
          <w:tcPr>
            <w:tcW w:type="dxa" w:w="864"/>
          </w:tcPr>
          <w:p>
            <w:r>
              <w:t>5/12</w:t>
            </w:r>
          </w:p>
        </w:tc>
        <w:tc>
          <w:tcPr>
            <w:tcW w:type="dxa" w:w="3888"/>
          </w:tcPr>
          <w:p>
            <w:r>
              <w:t>fund price is premium/discount-driven and decoupled from NAV. Benchmarking the price benchmarks the premium, not the portfolio</w:t>
            </w:r>
          </w:p>
        </w:tc>
      </w:tr>
    </w:tbl>
    <w:p>
      <w:pPr>
        <w:pStyle w:val="Heading1"/>
      </w:pPr>
      <w:r>
        <w:t>Exhibit B. Liquidity match for this plan</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approx. $438.0M</w:t>
            </w:r>
          </w:p>
        </w:tc>
        <w:tc>
          <w:tcPr>
            <w:tcW w:type="dxa" w:w="1152"/>
          </w:tcPr>
          <w:p>
            <w:r>
              <w:t>2.3</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not applicable (exchange-traded).</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2024-01-01 to 2024-12-31): 6.5%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13.7% of the position per year, from tail turnover 20%/yr on the 58.2% of accounts that are separated and active turnover 5%/yr on the rest. Shown beside the filed rate, not blended with it, and likewise a selling rate against market depth.</w:t>
      </w:r>
    </w:p>
    <w:p>
      <w:r>
        <w:t>Cited: cell 3.1,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2.50% on gross assets incl. borrowings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4.53% expense ratio, of average net assets (FY2025)</w:t>
            </w:r>
          </w:p>
        </w:tc>
        <w:tc>
          <w:tcPr>
            <w:tcW w:type="dxa" w:w="2880"/>
          </w:tcPr>
          <w:p>
            <w:r>
              <w:t>extracted-unverified</w:t>
            </w:r>
          </w:p>
        </w:tc>
      </w:tr>
      <w:tr>
        <w:tc>
          <w:tcPr>
            <w:tcW w:type="dxa" w:w="2880"/>
          </w:tcPr>
          <w:p>
            <w:r>
              <w:t>2.4 AFFE</w:t>
            </w:r>
          </w:p>
        </w:tc>
        <w:tc>
          <w:tcPr>
            <w:tcW w:type="dxa" w:w="3600"/>
          </w:tcPr>
          <w:p>
            <w:r>
              <w:t>AFFE 0.03%</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not applicable, the record states why</w:t>
            </w:r>
          </w:p>
        </w:tc>
        <w:tc>
          <w:tcPr>
            <w:tcW w:type="dxa" w:w="2880"/>
          </w:tcPr>
          <w:p>
            <w:r>
              <w:t>n/a - no early-repurchase fee (exchange-traded)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Pre-IPO / venture growth (listed CEF + listed BDC + interval fund) (n=3).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24, verified 0, computed 14,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