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KKR Private Equity Conglomerate LLC (non-traded '34 Act reporting company, CIK 1957845)</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Meaningful benchmark (paragraph (k)): Cambridge Associates US PE benchmark at 9/12, no comparison computed (cited, series not in the record: no comparison computed).</w:t>
      </w:r>
    </w:p>
    <w:p>
      <w:r>
        <w:t>Reference comparison, not the meaningful benchmark: Listed private equity investable proxy (PSP), KS-PME 1.0387, Direct Alpha 1.91%/yr over 2023-12-31 to 2025-12-31.</w:t>
      </w:r>
    </w:p>
    <w:p>
      <w:r>
        <w:t>Peer comparison (paragraphs (g) and (h)): 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Benchmark: low confidence: 2-year window, shorter than 3 years (benchmark comparison)</w:t>
      </w:r>
    </w:p>
    <w:p>
      <w:pPr>
        <w:pStyle w:val="ListBullet"/>
      </w:pPr>
      <w:r>
        <w:t>Peer comparison: 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 (cell 1.12)</w:t>
      </w:r>
    </w:p>
    <w:p>
      <w:pPr>
        <w:pStyle w:val="ListBullet"/>
      </w:pPr>
      <w:r>
        <w:t>Liquidity: structural verdict partial, facts missing: gate_history (cells 3.1, 3.3)</w:t>
      </w:r>
    </w:p>
    <w:p>
      <w:pPr>
        <w:pStyle w:val="ListBullet"/>
      </w:pPr>
      <w:r>
        <w:t>Tax reporting: Schedule K-1 (cell 6.4)</w:t>
      </w:r>
    </w:p>
    <w:p>
      <w:r>
        <w:t>Evidence coverage: 41 of 41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Cambridge Associates US PE benchmark</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private equity investable proxy (PSP)</w:t>
            </w:r>
          </w:p>
        </w:tc>
        <w:tc>
          <w:tcPr>
            <w:tcW w:type="dxa" w:w="864"/>
          </w:tcPr>
          <w:p>
            <w:r>
              <w:t>8/12</w:t>
            </w:r>
          </w:p>
        </w:tc>
        <w:tc>
          <w:tcPr>
            <w:tcW w:type="dxa" w:w="3888"/>
          </w:tcPr>
          <w:p>
            <w:r>
              <w:t>KS-PME 1.0387, Direct Alpha 1.91%/yr, 2023-12-31 to 2025-12-31</w:t>
            </w:r>
          </w:p>
        </w:tc>
      </w:tr>
      <w:tr>
        <w:tc>
          <w:tcPr>
            <w:tcW w:type="dxa" w:w="1152"/>
          </w:tcPr>
          <w:p>
            <w:r>
              <w:t>Peer comparison (paragraphs (g) and (h))</w:t>
            </w:r>
          </w:p>
        </w:tc>
        <w:tc>
          <w:tcPr>
            <w:tcW w:type="dxa" w:w="3456"/>
          </w:tcPr>
          <w:p>
            <w:r>
              <w:t>Peer composite, evergreen private equity cohort without KKR Private Equity Conglomerate LLC</w:t>
            </w:r>
          </w:p>
        </w:tc>
        <w:tc>
          <w:tcPr>
            <w:tcW w:type="dxa" w:w="864"/>
          </w:tcPr>
          <w:p>
            <w:r>
              <w:t>not scored</w:t>
            </w:r>
          </w:p>
        </w:tc>
        <w:tc>
          <w:tcPr>
            <w:tcW w:type="dxa" w:w="3888"/>
          </w:tcPr>
          <w:p>
            <w:r>
              <w:t>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ranked below the selected candidate: 8/12 vs 9/12 for Cambridge PE benchmark</w:t>
            </w:r>
          </w:p>
        </w:tc>
      </w:tr>
      <w:tr>
        <w:tc>
          <w:tcPr>
            <w:tcW w:type="dxa" w:w="1152"/>
          </w:tcPr>
          <w:p>
            <w:r>
              <w:t>rejected</w:t>
            </w:r>
          </w:p>
        </w:tc>
        <w:tc>
          <w:tcPr>
            <w:tcW w:type="dxa" w:w="3456"/>
          </w:tcPr>
          <w:p>
            <w:r>
              <w:t>MSCI World investable proxy (URTH)</w:t>
            </w:r>
          </w:p>
        </w:tc>
        <w:tc>
          <w:tcPr>
            <w:tcW w:type="dxa" w:w="864"/>
          </w:tcPr>
          <w:p>
            <w:r>
              <w:t>7/12</w:t>
            </w:r>
          </w:p>
        </w:tc>
        <w:tc>
          <w:tcPr>
            <w:tcW w:type="dxa" w:w="3888"/>
          </w:tcPr>
          <w:p>
            <w:r>
              <w:t>rejected: strategy gate (score 7/12 but strategy_match 1/3)</w:t>
            </w:r>
          </w:p>
        </w:tc>
      </w:tr>
    </w:tbl>
    <w:p>
      <w:pPr>
        <w:pStyle w:val="Heading1"/>
      </w:pPr>
      <w:r>
        <w:t>Exhibit B. Liquidity match for this plan</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aggregate NAV.</w:t>
      </w:r>
    </w:p>
    <w:p>
      <w:pPr>
        <w:pStyle w:val="ListBullet"/>
      </w:pPr>
      <w:r>
        <w:t>Facts missing for a structural verdict: gate_history (shares requested versus repurchased: the 10-K prints repurchases by class and discloses no proration, deferral or unsatisfied-request event for 2024-2025, but the requested amounts are not printed, so a clean False would overclaim (R2-P1-12 rule)). The verdict stays partial until they are typed from the filings.</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LLC ('34 Act)</w:t>
            </w:r>
          </w:p>
        </w:tc>
        <w:tc>
          <w:tcPr>
            <w:tcW w:type="dxa" w:w="1152"/>
          </w:tcPr>
          <w:p>
            <w:r>
              <w:t>6.1</w:t>
            </w:r>
          </w:p>
        </w:tc>
      </w:tr>
      <w:tr>
        <w:tc>
          <w:tcPr>
            <w:tcW w:type="dxa" w:w="2448"/>
          </w:tcPr>
          <w:p>
            <w:r>
              <w:t>Dealing terms</w:t>
            </w:r>
          </w:p>
        </w:tc>
        <w:tc>
          <w:tcPr>
            <w:tcW w:type="dxa" w:w="5760"/>
          </w:tcPr>
          <w:p>
            <w:r>
              <w:t>quarterly offers, 5% cap per quarter on aggregate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shares requested versus repurchased: the 10-K prints repurchases by class and discloses no proration, deferral or unsatisfied-request event for 2024-2025, but the requested amounts are not printed, so a clean False would overclaim (R2-P1-12 rule)</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r>
        <w:tc>
          <w:tcPr>
            <w:tcW w:type="dxa" w:w="2448"/>
          </w:tcPr>
          <w:p>
            <w:r>
              <w:t>Fund net assets (for the dollar capacity)</w:t>
            </w:r>
          </w:p>
        </w:tc>
        <w:tc>
          <w:tcPr>
            <w:tcW w:type="dxa" w:w="5760"/>
          </w:tcPr>
          <w:p>
            <w:r>
              <w:t>approx. $9.5B</w:t>
            </w:r>
          </w:p>
        </w:tc>
        <w:tc>
          <w:tcPr>
            <w:tcW w:type="dxa" w:w="1152"/>
          </w:tcPr>
          <w:p>
            <w:r>
              <w:t>3.3</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20%.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within wrapper capacity (19.2% vs 20%) IF offers are not prorated.</w:t>
      </w:r>
    </w:p>
    <w:p>
      <w:r>
        <w:t>Fund capacity in dollars: $1.9B per year (20% of approx. $9.5B net assets, cell 3.3). The plan's demand at the filed rate is $31.9M per year, 1.68% of that capacity, a claim shared with every other holder.</w:t>
      </w:r>
    </w:p>
    <w:p>
      <w:r>
        <w:t>Scenario verdict (ILLUSTRATIVE, this plan): CONDITIONAL.</w:t>
      </w:r>
    </w:p>
    <w:p>
      <w:pPr>
        <w:pStyle w:val="ListBullet"/>
      </w:pPr>
      <w:r>
        <w:t>Capacity: 5% per quarter on aggregate NAV: at most 20% of the position per year. This is a FUND-level cap shared by every holder, so the plan's position is served only while offers are not oversubscribed.</w:t>
      </w:r>
    </w:p>
    <w:p>
      <w:pPr>
        <w:pStyle w:val="ListBullet"/>
      </w:pPr>
      <w:r>
        <w:t>Filed outflow proxy (Schedule H, plan year 2024-01-01 to 2024-12-31): 6.5%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13.7% of the position per year vs 20% annual wrapper capacity, from tail turnover 20%/yr on the 58.2% of accounts that are separated and active turnover 5%/yr on the rest. Shown beside the filed rate, not blended with it. THIN HEADROOM: the slider assumption consumes over 60% of wrapper capacity, so proration in any oversubscribed window would push the shortfall into the next window.</w:t>
      </w:r>
    </w:p>
    <w:p>
      <w:pPr>
        <w:pStyle w:val="ListBullet"/>
      </w:pPr>
      <w:r>
        <w:t>Fund capacity in dollars: 20% of approx. $9.5B net assets (cell 3.3) is $1.9B per year. At a 5% allocation ($490.5M) the plan's demand at the filed rate is $31.9M per year, 1.68%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15% / 5% hurdle</w:t>
            </w:r>
          </w:p>
        </w:tc>
        <w:tc>
          <w:tcPr>
            <w:tcW w:type="dxa" w:w="2880"/>
          </w:tcPr>
          <w:p>
            <w:r>
              <w:t>extracted-unverified</w:t>
            </w:r>
          </w:p>
        </w:tc>
      </w:tr>
      <w:tr>
        <w:tc>
          <w:tcPr>
            <w:tcW w:type="dxa" w:w="2880"/>
          </w:tcPr>
          <w:p>
            <w:r>
              <w:t>2.3 Total expense ratio &amp; waivers</w:t>
            </w:r>
          </w:p>
        </w:tc>
        <w:tc>
          <w:tcPr>
            <w:tcW w:type="dxa" w:w="3600"/>
          </w:tcPr>
          <w:p>
            <w:r>
              <w:t>no typed fact for this cell</w:t>
            </w:r>
          </w:p>
        </w:tc>
        <w:tc>
          <w:tcPr>
            <w:tcW w:type="dxa" w:w="2880"/>
          </w:tcPr>
          <w:p>
            <w:r>
              <w:t>partial</w:t>
            </w:r>
          </w:p>
        </w:tc>
      </w:tr>
      <w:tr>
        <w:tc>
          <w:tcPr>
            <w:tcW w:type="dxa" w:w="2880"/>
          </w:tcPr>
          <w:p>
            <w:r>
              <w:t>2.4 AFFE</w:t>
            </w:r>
          </w:p>
        </w:tc>
        <w:tc>
          <w:tcPr>
            <w:tcW w:type="dxa" w:w="3600"/>
          </w:tcPr>
          <w:p>
            <w:r>
              <w:t>no typed fact for this cell</w:t>
            </w:r>
          </w:p>
        </w:tc>
        <w:tc>
          <w:tcPr>
            <w:tcW w:type="dxa" w:w="2880"/>
          </w:tcPr>
          <w:p>
            <w:r>
              <w:t>partial</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5% &lt; 24 months</w:t>
            </w:r>
          </w:p>
        </w:tc>
        <w:tc>
          <w:tcPr>
            <w:tcW w:type="dxa" w:w="2880"/>
          </w:tcPr>
          <w:p>
            <w:r>
              <w:t>extracted-unverified</w:t>
            </w:r>
          </w:p>
        </w:tc>
      </w:tr>
      <w:tr>
        <w:tc>
          <w:tcPr>
            <w:tcW w:type="dxa" w:w="2880"/>
          </w:tcPr>
          <w:p>
            <w:r>
              <w:t>6.4 Tax reporting (1099 vs K-1)</w:t>
            </w:r>
          </w:p>
        </w:tc>
        <w:tc>
          <w:tcPr>
            <w:tcW w:type="dxa" w:w="3600"/>
          </w:tcPr>
          <w:p>
            <w:r>
              <w:t>Schedule K-1</w:t>
            </w:r>
          </w:p>
        </w:tc>
        <w:tc>
          <w:tcPr>
            <w:tcW w:type="dxa" w:w="2880"/>
          </w:tcPr>
          <w:p>
            <w:r>
              <w:t>extracted-unverified</w:t>
            </w:r>
          </w:p>
        </w:tc>
      </w:tr>
    </w:tbl>
    <w:p>
      <w:pPr>
        <w:pStyle w:val="Heading1"/>
      </w:pPr>
      <w:r>
        <w:t>Exhibit D. Peer cohort placement</w:t>
      </w:r>
    </w:p>
    <w:p>
      <w:r>
        <w:t>Cohort Evergreen private equity ('40-Act funds + '34-Act conglomerate) (n=5). '34-Act conglomerate of controlled PE businesses. Joins under the authorized fallback (its Reg D twins have no public filings). Cross-wrapper caveats carried by the cohort caveat block.</w:t>
      </w:r>
    </w:p>
    <w:p>
      <w:r>
        <w:t>Cohort placement (evergreen private equity cohort): mgmt fee: 30th percentile of cohort (n=5), below the median of 1.4 | expense ratio (bases differ, see notes): 50th percentile of cohort (n=5), at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26, verified 0, computed 10,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