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Starwood Real Estate Income Trust, Inc. (non-traded REIT ('34 Act reporting), CIK 1711929)</w:t>
        <w:br/>
      </w:r>
      <w:r>
        <w:t>Record as of 2026-09-04. DRAFT, generated by the build from the record. The decision memo for the same plan and product is a separate document.</w:t>
      </w:r>
    </w:p>
    <w:p>
      <w:pPr>
        <w:pStyle w:val="Heading1"/>
      </w:pPr>
      <w:r>
        <w:t>Summary</w:t>
      </w:r>
    </w:p>
    <w:p>
      <w:r>
        <w:t>Structural liquidity verdict: MISALIGNED (typed facts, plan-independent). Scenario verdict under this plan (ILLUSTRATIVE, default sliders): MISALIGNED.</w:t>
      </w:r>
    </w:p>
    <w:p>
      <w:r>
        <w:t>Meaningful benchmark (paragraph (k)): NCREIF Fund Index - ODCE (private core RE) at 9/12, no comparison computed (cited, series not in the record: no comparison computed).</w:t>
      </w:r>
    </w:p>
    <w:p>
      <w:r>
        <w:t>Reference comparison, not the meaningful benchmark: Listed REIT investable proxy (VNQ), KS-PME 0.9453, Direct Alpha -5.47%/yr over 2024-12-31 to 2025-12-31.</w:t>
      </w:r>
    </w:p>
    <w:p>
      <w:r>
        <w:t>Peer comparison (paragraphs (g) and (h)): composite refused, fewer than 3 peers remain after leaving Starwood Real Estate Income Trust, Inc. out (2: Blackstone Real Estate Income Trust Inc, JLL Income Property Trust, Inc.).</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pPr>
        <w:pStyle w:val="ListBullet"/>
      </w:pPr>
      <w:r>
        <w:t>Benchmark: low confidence: 1-year window, shorter than 3 years (benchmark comparison)</w:t>
      </w:r>
    </w:p>
    <w:p>
      <w:pPr>
        <w:pStyle w:val="ListBullet"/>
      </w:pPr>
      <w:r>
        <w:t>Peer comparison: composite refused, fewer than 3 peers remain after leaving Starwood Real Estate Income Trust, Inc. out (2: Blackstone Real Estate Income Trust Inc, JLL Income Property Trust, Inc.) (cell 1.12)</w:t>
      </w:r>
    </w:p>
    <w:p>
      <w:pPr>
        <w:pStyle w:val="ListBullet"/>
      </w:pPr>
      <w:r>
        <w:t>Liquidity: repurchase program suspended (cells 3.1, 3.3)</w:t>
      </w:r>
    </w:p>
    <w:p>
      <w:pPr>
        <w:pStyle w:val="ListBullet"/>
      </w:pPr>
      <w:r>
        <w:t>Liquidity: gating precedent, repurchases prorated under stress (cell 3.3)</w:t>
      </w:r>
    </w:p>
    <w:p>
      <w:pPr>
        <w:pStyle w:val="ListBullet"/>
      </w:pPr>
      <w:r>
        <w:t>Liquidity: ILLUSTRATIVE scenario verdict misaligned under this plan (the filed outflow proxy or the stressed demand above wrapper capacity)</w:t>
      </w:r>
    </w:p>
    <w:p>
      <w:r>
        <w:t>Evidence coverage: 42 of 42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NCREIF Fund Index - ODCE (private core RE)</w:t>
            </w:r>
          </w:p>
        </w:tc>
        <w:tc>
          <w:tcPr>
            <w:tcW w:type="dxa" w:w="864"/>
          </w:tcPr>
          <w:p>
            <w:r>
              <w:t>9/12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Listed REIT investable proxy (VNQ)</w:t>
            </w:r>
          </w:p>
        </w:tc>
        <w:tc>
          <w:tcPr>
            <w:tcW w:type="dxa" w:w="864"/>
          </w:tcPr>
          <w:p>
            <w:r>
              <w:t>8/12</w:t>
            </w:r>
          </w:p>
        </w:tc>
        <w:tc>
          <w:tcPr>
            <w:tcW w:type="dxa" w:w="3888"/>
          </w:tcPr>
          <w:p>
            <w:r>
              <w:t>KS-PME 0.9453, Direct Alpha -5.47%/yr, 2024-12-31 to 2025-12-31</w:t>
            </w:r>
          </w:p>
        </w:tc>
      </w:tr>
      <w:tr>
        <w:tc>
          <w:tcPr>
            <w:tcW w:type="dxa" w:w="1152"/>
          </w:tcPr>
          <w:p>
            <w:r>
              <w:t>Peer comparison (paragraphs (g) and (h))</w:t>
            </w:r>
          </w:p>
        </w:tc>
        <w:tc>
          <w:tcPr>
            <w:tcW w:type="dxa" w:w="3456"/>
          </w:tcPr>
          <w:p>
            <w:r>
              <w:t>Peer composite, non-traded real estate cohort without Starwood Real Estate Income Trust, Inc.</w:t>
            </w:r>
          </w:p>
        </w:tc>
        <w:tc>
          <w:tcPr>
            <w:tcW w:type="dxa" w:w="864"/>
          </w:tcPr>
          <w:p>
            <w:r>
              <w:t>not scored</w:t>
            </w:r>
          </w:p>
        </w:tc>
        <w:tc>
          <w:tcPr>
            <w:tcW w:type="dxa" w:w="3888"/>
          </w:tcPr>
          <w:p>
            <w:r>
              <w:t>composite refused: fewer than 3 peers remain after leaving Starwood Real Estate Income Trust, Inc. out (2: Blackstone Real Estate Income Trust Inc, JLL Income Property Trust, Inc.)</w:t>
            </w:r>
          </w:p>
        </w:tc>
      </w:tr>
      <w:tr>
        <w:tc>
          <w:tcPr>
            <w:tcW w:type="dxa" w:w="1152"/>
          </w:tcPr>
          <w:p>
            <w:r>
              <w:t>rejected</w:t>
            </w:r>
          </w:p>
        </w:tc>
        <w:tc>
          <w:tcPr>
            <w:tcW w:type="dxa" w:w="3456"/>
          </w:tcPr>
          <w:p>
            <w:r>
              <w:t>Listed REIT investable proxy (VNQ)</w:t>
            </w:r>
          </w:p>
        </w:tc>
        <w:tc>
          <w:tcPr>
            <w:tcW w:type="dxa" w:w="864"/>
          </w:tcPr>
          <w:p>
            <w:r>
              <w:t>8/12</w:t>
            </w:r>
          </w:p>
        </w:tc>
        <w:tc>
          <w:tcPr>
            <w:tcW w:type="dxa" w:w="3888"/>
          </w:tcPr>
          <w:p>
            <w:r>
              <w:t>ranked below the selected candidate: 8/12 vs 9/12 for NFI-ODCE</w:t>
            </w:r>
          </w:p>
        </w:tc>
      </w:tr>
    </w:tbl>
    <w:p>
      <w:pPr>
        <w:pStyle w:val="Heading1"/>
      </w:pPr>
      <w:r>
        <w:t>Exhibit B. Liquidity match for this plan</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MISALIGNED</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repurchases are suspended (cell 3.1).</w:t>
      </w:r>
    </w:p>
    <w:p>
      <w:pPr>
        <w:pStyle w:val="ListBullet"/>
      </w:pPr>
      <w:r>
        <w:t>Repurchase program suspended (cell 3.1): ordinary repurchase requests are not accepted, so participant liquidity depends on the program reopening. Capacity is 0%. Gating precedent on top (3.3).</w:t>
      </w:r>
    </w:p>
    <w:p>
      <w:pPr>
        <w:pStyle w:val="ListBullet"/>
      </w:pPr>
      <w:r>
        <w:t>Early repurchase economics: 5%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repurchases suspended since the April 29, 2026 amendment (3.1)</w:t>
            </w:r>
          </w:p>
        </w:tc>
        <w:tc>
          <w:tcPr>
            <w:tcW w:type="dxa" w:w="1152"/>
          </w:tcPr>
          <w:p>
            <w:r>
              <w:t>3.1</w:t>
            </w:r>
          </w:p>
        </w:tc>
      </w:tr>
      <w:tr>
        <w:tc>
          <w:tcPr>
            <w:tcW w:type="dxa" w:w="2448"/>
          </w:tcPr>
          <w:p>
            <w:r>
              <w:t>Repurchase caps</w:t>
            </w:r>
          </w:p>
        </w:tc>
        <w:tc>
          <w:tcPr>
            <w:tcW w:type="dxa" w:w="5760"/>
          </w:tcPr>
          <w:p>
            <w:r>
              <w:t>0% per month for ordinary requests (suspended), 0% per year</w:t>
            </w:r>
          </w:p>
        </w:tc>
        <w:tc>
          <w:tcPr>
            <w:tcW w:type="dxa" w:w="1152"/>
          </w:tcPr>
          <w:p>
            <w:r>
              <w:t>3.1</w:t>
            </w:r>
          </w:p>
        </w:tc>
      </w:tr>
      <w:tr>
        <w:tc>
          <w:tcPr>
            <w:tcW w:type="dxa" w:w="2448"/>
          </w:tcPr>
          <w:p>
            <w:r>
              <w:t>Annual capacity (binding cap)</w:t>
            </w:r>
          </w:p>
        </w:tc>
        <w:tc>
          <w:tcPr>
            <w:tcW w:type="dxa" w:w="5760"/>
          </w:tcPr>
          <w:p>
            <w:r>
              <w:t>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suspended</w:t>
            </w:r>
          </w:p>
        </w:tc>
        <w:tc>
          <w:tcPr>
            <w:tcW w:type="dxa" w:w="1152"/>
          </w:tcPr>
          <w:p>
            <w:r>
              <w:t>3.1</w:t>
            </w:r>
          </w:p>
        </w:tc>
      </w:tr>
      <w:tr>
        <w:tc>
          <w:tcPr>
            <w:tcW w:type="dxa" w:w="2448"/>
          </w:tcPr>
          <w:p>
            <w:r>
              <w:t>Early repurchase fee</w:t>
            </w:r>
          </w:p>
        </w:tc>
        <w:tc>
          <w:tcPr>
            <w:tcW w:type="dxa" w:w="5760"/>
          </w:tcPr>
          <w:p>
            <w:r>
              <w:t>5% if held &lt; 1 year (2.7)</w:t>
            </w:r>
          </w:p>
        </w:tc>
        <w:tc>
          <w:tcPr>
            <w:tcW w:type="dxa" w:w="1152"/>
          </w:tcPr>
          <w:p>
            <w:r>
              <w:t>2.7</w:t>
            </w:r>
          </w:p>
        </w:tc>
      </w:tr>
      <w:tr>
        <w:tc>
          <w:tcPr>
            <w:tcW w:type="dxa" w:w="2448"/>
          </w:tcPr>
          <w:p>
            <w:r>
              <w:t>Fund net assets (for the dollar capacity)</w:t>
            </w:r>
          </w:p>
        </w:tc>
        <w:tc>
          <w:tcPr>
            <w:tcW w:type="dxa" w:w="5760"/>
          </w:tcPr>
          <w:p>
            <w:r>
              <w:t>not typed: aggregate NAV not yet carried into a typed cell. Verification-queue item</w:t>
            </w:r>
          </w:p>
        </w:tc>
        <w:tc>
          <w:tcPr>
            <w:tcW w:type="dxa" w:w="1152"/>
          </w:tcPr>
          <w:p>
            <w:r>
              <w:t>1.1</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0%.</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EXCEEDS annual wrapper capacity (19.2% vs 0%). Unmet demand rolls into later windows (gating-equivalent outcome).</w:t>
      </w:r>
    </w:p>
    <w:p>
      <w:r>
        <w:t>Fund capacity in dollars: not computable, the fund's net assets are not typed in the record (aggregate NAV not yet carried into a typed cell. Verification-queue item), so the plan's dollar demand cannot be set against the fund's dollar capacity and the allocation slider is not shown.</w:t>
      </w:r>
    </w:p>
    <w:p>
      <w:r>
        <w:t>Scenario verdict (ILLUSTRATIVE, this plan): MISALIGNED.</w:t>
      </w:r>
    </w:p>
    <w:p>
      <w:pPr>
        <w:pStyle w:val="ListBullet"/>
      </w:pPr>
      <w:r>
        <w:t>Capacity: repurchases are suspended (cell 3.1): ordinary requests are not accepted. Capacity is 0% until the program reopens.</w:t>
      </w:r>
    </w:p>
    <w:p>
      <w:pPr>
        <w:pStyle w:val="ListBullet"/>
      </w:pPr>
      <w:r>
        <w:t>Filed outflow proxy (Schedule H, plan year 2024-01-01 to 2024-12-31): 6.5% of the position per year vs 0% annual wrapper capacity, the plan's total expenses less administrative expenses over beginning net assets, applied to the position. EXCEEDS: repurchases are closed, so every request waits for the program to reopen.</w:t>
      </w:r>
    </w:p>
    <w:p>
      <w:pPr>
        <w:pStyle w:val="ListBullet"/>
      </w:pPr>
      <w:r>
        <w:t>Slider assumption (illustrative): 13.7% of the position per year vs 0% annual wrapper capacity, from tail turnover 20%/yr on the 58.2% of accounts that are separated and active turnover 5%/yr on the rest. Shown beside the filed rate, not blended with it. EXCEEDS: repurchases are closed, so every request waits for the program to reopen.</w:t>
      </w:r>
    </w:p>
    <w:p>
      <w:pPr>
        <w:pStyle w:val="ListBullet"/>
      </w:pPr>
      <w:r>
        <w:t>Scenario verdict (ILLUSTRATIVE, this plan): misaligned.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12.5%</w:t>
            </w:r>
          </w:p>
        </w:tc>
        <w:tc>
          <w:tcPr>
            <w:tcW w:type="dxa" w:w="2880"/>
          </w:tcPr>
          <w:p>
            <w:r>
              <w:t>extracted-unverified</w:t>
            </w:r>
          </w:p>
        </w:tc>
      </w:tr>
      <w:tr>
        <w:tc>
          <w:tcPr>
            <w:tcW w:type="dxa" w:w="2880"/>
          </w:tcPr>
          <w:p>
            <w:r>
              <w:t>2.3 Total expense ratio &amp; waivers</w:t>
            </w:r>
          </w:p>
        </w:tc>
        <w:tc>
          <w:tcPr>
            <w:tcW w:type="dxa" w:w="3600"/>
          </w:tcPr>
          <w:p>
            <w:r>
              <w:t>not applicable, the record states why</w:t>
            </w:r>
          </w:p>
        </w:tc>
        <w:tc>
          <w:tcPr>
            <w:tcW w:type="dxa" w:w="2880"/>
          </w:tcPr>
          <w:p>
            <w:r>
              <w:t>n/a - not publicly available: no TER disclosure exists for a '34-Act non-traded REIT - zero hits for 'expense ratio' in the stripped FY2025 10-K and Q2-2026 10-Q; fee-burden components evidenced in 2.1/2.2/2.6/2.7</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5% &lt; 1 year</w:t>
            </w:r>
          </w:p>
        </w:tc>
        <w:tc>
          <w:tcPr>
            <w:tcW w:type="dxa" w:w="2880"/>
          </w:tcPr>
          <w:p>
            <w:r>
              <w:t>extracted-unverified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Non-traded NAV REITs (n=3). Non-traded monthly-NAV REIT - breit's closest structural twin (class structure, repurchase plan, 2022-24 stress history).</w:t>
      </w:r>
    </w:p>
    <w:p>
      <w:r>
        <w:t>Cohort placement (non-traded real estate cohort): mgmt fee: at the cohort median of 1.25 (n=3, too small for percentile language) | expense ratio (bases differ, see notes): fact unavailable for this member | repurchase cap: below the cohort median of 2 (n=3, too small for percentile language). Statistics and per-member values are in the cohort artifact, membership rationales in the typed 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24, verified 0, computed 11, partial 6,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