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StepStone Private Markets (tender-offer fund ('40 Act), CIK 1789470)</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1.8718, Direct Alpha 13.36%/yr over 2021-03-31 to 2026-03-31.</w:t>
      </w:r>
    </w:p>
    <w:p>
      <w:r>
        <w:t>Peer comparison (paragraphs (g) and (h)): 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 (cell 1.12)</w:t>
      </w:r>
    </w:p>
    <w:p>
      <w:pPr>
        <w:pStyle w:val="ListBullet"/>
      </w:pPr>
      <w:r>
        <w:t>Liquidity: structural verdict partial, facts missing: gate_history (cells 3.1, 3.3)</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1.8718, Direct Alpha 13.36%/yr, 2021-03-31 to 2026-03-31</w:t>
            </w:r>
          </w:p>
        </w:tc>
      </w:tr>
      <w:tr>
        <w:tc>
          <w:tcPr>
            <w:tcW w:type="dxa" w:w="1152"/>
          </w:tcPr>
          <w:p>
            <w:r>
              <w:t>declared benchmark</w:t>
            </w:r>
          </w:p>
        </w:tc>
        <w:tc>
          <w:tcPr>
            <w:tcW w:type="dxa" w:w="3456"/>
          </w:tcPr>
          <w:p>
            <w:r>
              <w:t>MSCI World Index</w:t>
            </w:r>
          </w:p>
        </w:tc>
        <w:tc>
          <w:tcPr>
            <w:tcW w:type="dxa" w:w="864"/>
          </w:tcPr>
          <w:p>
            <w:r/>
          </w:p>
        </w:tc>
        <w:tc>
          <w:tcPr>
            <w:tcW w:type="dxa" w:w="3888"/>
          </w:tcPr>
          <w:p>
            <w:r>
              <w:t>held, scored 7/12, fails the strategy gate (strategy_match 1/3). KS-PME 1.185, Direct Alpha 3.45%/yr, 2021-03-31 to 2026-03-31</w:t>
            </w:r>
          </w:p>
        </w:tc>
      </w:tr>
      <w:tr>
        <w:tc>
          <w:tcPr>
            <w:tcW w:type="dxa" w:w="1152"/>
          </w:tcPr>
          <w:p>
            <w:r>
              <w:t>Peer comparison (paragraphs (g) and (h))</w:t>
            </w:r>
          </w:p>
        </w:tc>
        <w:tc>
          <w:tcPr>
            <w:tcW w:type="dxa" w:w="3456"/>
          </w:tcPr>
          <w:p>
            <w:r>
              <w:t>Peer composite, evergreen private equity cohort without StepStone Private Markets</w:t>
            </w:r>
          </w:p>
        </w:tc>
        <w:tc>
          <w:tcPr>
            <w:tcW w:type="dxa" w:w="864"/>
          </w:tcPr>
          <w:p>
            <w:r>
              <w:t>not scored</w:t>
            </w:r>
          </w:p>
        </w:tc>
        <w:tc>
          <w:tcPr>
            <w:tcW w:type="dxa" w:w="3888"/>
          </w:tcPr>
          <w:p>
            <w:r>
              <w:t>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approx. $5.8B</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$1.2B per year (20% of approx. $5.8B net assets, cell 3.6). The plan's demand at the filed rate is $31.9M per year, 2.73% of that capacity, a claim shared with every other holder.</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Fund capacity in dollars: 20% of approx. $5.8B net assets (cell 3.6) is $1.2B per year. At a 5% allocation ($490.5M) the plan's demand at the filed rate is $31.9M per year, 2.73%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1.91% expense ratio, AFFE excluded (FY2026, Class I)</w:t>
            </w:r>
          </w:p>
        </w:tc>
        <w:tc>
          <w:tcPr>
            <w:tcW w:type="dxa" w:w="2880"/>
          </w:tcPr>
          <w:p>
            <w:r>
              <w:t>extracted-unverified</w:t>
            </w:r>
          </w:p>
        </w:tc>
      </w:tr>
      <w:tr>
        <w:tc>
          <w:tcPr>
            <w:tcW w:type="dxa" w:w="2880"/>
          </w:tcPr>
          <w:p>
            <w:r>
              <w:t>2.4 AFFE</w:t>
            </w:r>
          </w:p>
        </w:tc>
        <w:tc>
          <w:tcPr>
            <w:tcW w:type="dxa" w:w="3600"/>
          </w:tcPr>
          <w:p>
            <w:r>
              <w:t>AFFE 0.59%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 typed fact for this cell</w:t>
            </w:r>
          </w:p>
        </w:tc>
        <w:tc>
          <w:tcPr>
            <w:tcW w:type="dxa" w:w="2880"/>
          </w:tcPr>
          <w:p>
            <w:r>
              <w:t>partial</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11,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