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AMG Pantheon Fund, LLC (tender-offer fund ('40 Act), evergreen PE, CIK 1609211)</w:t>
        <w:br/>
      </w:r>
      <w:r>
        <w:t>Record as of 2026-09-04. DRAFT, generated by the build from the record. The decision memo for the same plan and product is a separate document.</w:t>
      </w:r>
    </w:p>
    <w:p>
      <w:pPr>
        <w:pStyle w:val="Heading1"/>
      </w:pPr>
      <w:r>
        <w:t>Summary</w:t>
      </w:r>
    </w:p>
    <w:p>
      <w:r>
        <w:t>Structural liquidity verdict: PARTIAL (typed facts, plan-independent). Scenario verdict under this plan (ILLUSTRATIVE, default sliders): CONDITIONAL.</w:t>
      </w:r>
    </w:p>
    <w:p>
      <w:r>
        <w:t>Meaningful benchmark (paragraph (k)): Cambridge Associates US PE benchmark at 9/12, no comparison computed (cited, series not in the record: no comparison computed).</w:t>
      </w:r>
    </w:p>
    <w:p>
      <w:r>
        <w:t>Reference comparison, not the meaningful benchmark: Listed private equity investable proxy (PSP), KS-PME 1.5919, Direct Alpha 6.87%/yr over 2019-03-31 to 2026-03-31.</w:t>
      </w:r>
    </w:p>
    <w:p>
      <w:r>
        <w:t>Peer comparison (paragraphs (g) and (h)):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Ares Private Markets Fund fiscal years to month 03, AMG Pantheon Fund, LLC fiscal years to month 03). A composite needs identical start and end dates for every member.</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Ares Private Markets Fund fiscal years to month 03, AMG Pantheon Fund, LLC fiscal years to month 03). A composite needs identical start and end dates for every member (cell 1.12)</w:t>
      </w:r>
    </w:p>
    <w:p>
      <w:pPr>
        <w:pStyle w:val="ListBullet"/>
      </w:pPr>
      <w:r>
        <w:t>Liquidity: structural verdict partial, facts missing: gate_history (cells 3.1, 3.3)</w:t>
      </w:r>
    </w:p>
    <w:p>
      <w:r>
        <w:t>Evidence coverage: 42 of 42 resolvable, 0 verified, 13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Cambridge Associates US PE benchmark</w:t>
            </w:r>
          </w:p>
        </w:tc>
        <w:tc>
          <w:tcPr>
            <w:tcW w:type="dxa" w:w="864"/>
          </w:tcPr>
          <w:p>
            <w:r>
              <w:t>9/12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Listed private equity investable proxy (PSP)</w:t>
            </w:r>
          </w:p>
        </w:tc>
        <w:tc>
          <w:tcPr>
            <w:tcW w:type="dxa" w:w="864"/>
          </w:tcPr>
          <w:p>
            <w:r>
              <w:t>8/12</w:t>
            </w:r>
          </w:p>
        </w:tc>
        <w:tc>
          <w:tcPr>
            <w:tcW w:type="dxa" w:w="3888"/>
          </w:tcPr>
          <w:p>
            <w:r>
              <w:t>KS-PME 1.5919, Direct Alpha 6.87%/yr, 2019-03-31 to 2026-03-31</w:t>
            </w:r>
          </w:p>
        </w:tc>
      </w:tr>
      <w:tr>
        <w:tc>
          <w:tcPr>
            <w:tcW w:type="dxa" w:w="1152"/>
          </w:tcPr>
          <w:p>
            <w:r>
              <w:t>SEC-required comparator</w:t>
            </w:r>
          </w:p>
        </w:tc>
        <w:tc>
          <w:tcPr>
            <w:tcW w:type="dxa" w:w="3456"/>
          </w:tcPr>
          <w:p>
            <w:r>
              <w:t>MSCI World Index</w:t>
            </w:r>
          </w:p>
        </w:tc>
        <w:tc>
          <w:tcPr>
            <w:tcW w:type="dxa" w:w="864"/>
          </w:tcPr>
          <w:p>
            <w:r/>
          </w:p>
        </w:tc>
        <w:tc>
          <w:tcPr>
            <w:tcW w:type="dxa" w:w="3888"/>
          </w:tcPr>
          <w:p>
            <w:r>
              <w:t>held, scored 7/12, fails the strategy gate (strategy_match 1/3). KS-PME 1.0483, Direct Alpha 0.68%/yr, 2019-03-31 to 2026-03-31</w:t>
            </w:r>
          </w:p>
        </w:tc>
      </w:tr>
      <w:tr>
        <w:tc>
          <w:tcPr>
            <w:tcW w:type="dxa" w:w="1152"/>
          </w:tcPr>
          <w:p>
            <w:r>
              <w:t>Peer comparison (paragraphs (g) and (h))</w:t>
            </w:r>
          </w:p>
        </w:tc>
        <w:tc>
          <w:tcPr>
            <w:tcW w:type="dxa" w:w="3456"/>
          </w:tcPr>
          <w:p>
            <w:r>
              <w:t>Peer composite, evergreen private equity cohort without AMG Pantheon Fund, LLC</w:t>
            </w:r>
          </w:p>
        </w:tc>
        <w:tc>
          <w:tcPr>
            <w:tcW w:type="dxa" w:w="864"/>
          </w:tcPr>
          <w:p>
            <w:r>
              <w:t>not scored</w:t>
            </w:r>
          </w:p>
        </w:tc>
        <w:tc>
          <w:tcPr>
            <w:tcW w:type="dxa" w:w="3888"/>
          </w:tcPr>
          <w:p>
            <w:r>
              <w:t>composite refused: members report on different year ends and no member has a series that builds a common calendar period (Hamilton Lane Private Assets Fund fiscal years to month 03, StepStone Private Markets fiscal years to month 03, KKR Private Equity Conglomerate LLC calendar years, Ares Private Markets Fund fiscal years to month 03, AMG Pantheon Fund, LLC fiscal years to month 03). A composite needs identical start and end dates for every member</w:t>
            </w:r>
          </w:p>
        </w:tc>
      </w:tr>
      <w:tr>
        <w:tc>
          <w:tcPr>
            <w:tcW w:type="dxa" w:w="1152"/>
          </w:tcPr>
          <w:p>
            <w:r>
              <w:t>rejected</w:t>
            </w:r>
          </w:p>
        </w:tc>
        <w:tc>
          <w:tcPr>
            <w:tcW w:type="dxa" w:w="3456"/>
          </w:tcPr>
          <w:p>
            <w:r>
              <w:t>Listed private equity investable proxy (PSP)</w:t>
            </w:r>
          </w:p>
        </w:tc>
        <w:tc>
          <w:tcPr>
            <w:tcW w:type="dxa" w:w="864"/>
          </w:tcPr>
          <w:p>
            <w:r>
              <w:t>8/12</w:t>
            </w:r>
          </w:p>
        </w:tc>
        <w:tc>
          <w:tcPr>
            <w:tcW w:type="dxa" w:w="3888"/>
          </w:tcPr>
          <w:p>
            <w:r>
              <w:t>ranked below the selected candidate: 8/12 vs 9/12 for Cambridge PE benchmark</w:t>
            </w:r>
          </w:p>
        </w:tc>
      </w:tr>
      <w:tr>
        <w:tc>
          <w:tcPr>
            <w:tcW w:type="dxa" w:w="1152"/>
          </w:tcPr>
          <w:p>
            <w:r>
              <w:t>rejected</w:t>
            </w:r>
          </w:p>
        </w:tc>
        <w:tc>
          <w:tcPr>
            <w:tcW w:type="dxa" w:w="3456"/>
          </w:tcPr>
          <w:p>
            <w:r>
              <w:t>MSCI World investable proxy (URTH)</w:t>
            </w:r>
          </w:p>
        </w:tc>
        <w:tc>
          <w:tcPr>
            <w:tcW w:type="dxa" w:w="864"/>
          </w:tcPr>
          <w:p>
            <w:r>
              <w:t>7/12</w:t>
            </w:r>
          </w:p>
        </w:tc>
        <w:tc>
          <w:tcPr>
            <w:tcW w:type="dxa" w:w="3888"/>
          </w:tcPr>
          <w:p>
            <w:r>
              <w:t>rejected: strategy gate (score 7/12 but strategy_match 1/3)</w:t>
            </w:r>
          </w:p>
        </w:tc>
      </w:tr>
    </w:tbl>
    <w:p>
      <w:pPr>
        <w:pStyle w:val="Heading1"/>
      </w:pPr>
      <w:r>
        <w:t>Exhibit B. Liquidity match for this plan</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(no proration or oversubscription event is disclosed in the on-disk documents, but the tendered-versus-accepted amounts per offer are not printed either. Completed-tender dollars establish continuity, not full fills (R2-P1-12 rule)).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no proration or oversubscription event is disclosed in the on-disk documents, but the tendered-versus-accepted amounts per offer are not printed either. Completed-tender dollars establish continuity, not full fills (R2-P1-12 rule)</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within wrapper capacity (16.6% vs 20%) IF offers are not prorated.</w:t>
      </w:r>
    </w:p>
    <w:p>
      <w:r>
        <w:t>Fund capacity in dollars: not computable, the fund's net assets are not typed in the record (aggregate net assets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sliders.</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0.70% on net assets</w:t>
            </w:r>
          </w:p>
        </w:tc>
        <w:tc>
          <w:tcPr>
            <w:tcW w:type="dxa" w:w="2880"/>
          </w:tcPr>
          <w:p>
            <w:r>
              <w:t>extracted-unverified</w:t>
            </w:r>
          </w:p>
        </w:tc>
      </w:tr>
      <w:tr>
        <w:tc>
          <w:tcPr>
            <w:tcW w:type="dxa" w:w="2880"/>
          </w:tcPr>
          <w:p>
            <w:r>
              <w:t>2.2 Incentive fee terms</w:t>
            </w:r>
          </w:p>
        </w:tc>
        <w:tc>
          <w:tcPr>
            <w:tcW w:type="dxa" w:w="3600"/>
          </w:tcPr>
          <w:p>
            <w:r>
              <w:t>incentive fee: none</w:t>
            </w:r>
          </w:p>
        </w:tc>
        <w:tc>
          <w:tcPr>
            <w:tcW w:type="dxa" w:w="2880"/>
          </w:tcPr>
          <w:p>
            <w:r>
              <w:t>extracted-unverified</w:t>
            </w:r>
          </w:p>
        </w:tc>
      </w:tr>
      <w:tr>
        <w:tc>
          <w:tcPr>
            <w:tcW w:type="dxa" w:w="2880"/>
          </w:tcPr>
          <w:p>
            <w:r>
              <w:t>2.3 Total expense ratio &amp; waivers</w:t>
            </w:r>
          </w:p>
        </w:tc>
        <w:tc>
          <w:tcPr>
            <w:tcW w:type="dxa" w:w="3600"/>
          </w:tcPr>
          <w:p>
            <w:r>
              <w:t>2.38% expense ratio, total annual expenses of the inception class, classes range 2.38% to 3.38%</w:t>
            </w:r>
          </w:p>
        </w:tc>
        <w:tc>
          <w:tcPr>
            <w:tcW w:type="dxa" w:w="2880"/>
          </w:tcPr>
          <w:p>
            <w:r>
              <w:t>extracted-unverified</w:t>
            </w:r>
          </w:p>
        </w:tc>
      </w:tr>
      <w:tr>
        <w:tc>
          <w:tcPr>
            <w:tcW w:type="dxa" w:w="2880"/>
          </w:tcPr>
          <w:p>
            <w:r>
              <w:t>2.4 AFFE</w:t>
            </w:r>
          </w:p>
        </w:tc>
        <w:tc>
          <w:tcPr>
            <w:tcW w:type="dxa" w:w="3600"/>
          </w:tcPr>
          <w:p>
            <w:r>
              <w:t>AFFE 0.81%</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Evergreen private equity ('40-Act funds + '34-Act conglomerate) (n=5). Evergreen PE (Pantheon) tender-offer LLC - wrapper and strategy twin of hl_paf/stepstone_spm.</w:t>
      </w:r>
    </w:p>
    <w:p>
      <w:r>
        <w:t>Cohort placement (evergreen private equity cohort): mgmt fee: 10th percentile of cohort (n=5), below the median of 1.4 | expense ratio (bases differ, see notes): 30th percentile of cohort (n=5), below the median of 3.19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kkr_kpec joins under the authorized fallback: its structural twins are Reg D vehicles with no public filings (data/roster_decisions.md - 'The kkr_kpec ruling'). Cross-wrapper caveats apply.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27, verified 0, computed 11, partial 3, fetched 1, n/a 13,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