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industrial manufacturer 401(k) plan (~$0.8B, OH)</w:t>
        <w:br/>
      </w:r>
      <w:r>
        <w:t>Product: AMG Pantheon Fund, LLC (tender-offer fund ('40 Act), evergreen PE, CIK 1609211)</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in this build. The rule paragraph under each letter follows verbatim and the full text of paragraphs (g) to (l), examples included, is the appendix at the end of this memo. Cells 6.6 and 6.8 are advisor-completed under paragraph (l).</w:t>
      </w:r>
    </w:p>
    <w:p>
      <w:pPr>
        <w:pStyle w:val="IntenseQuote"/>
      </w:pPr>
      <w:r>
        <w:t>(g) Performance. The plan fiduciary must appropriately consider a reasonable number of similar alternatives and determine that the risk-adjusted expected returns, over an appropriate time-horizon, of the designated investment alternative, net of anticipated fees and expenses, further the purposes of the plan by enabling participants and beneficiaries to maximize risk-adjusted returns on investment net of fees and expenses.</w:t>
      </w:r>
    </w:p>
    <w:p>
      <w:pPr>
        <w:pStyle w:val="IntenseQuote"/>
      </w:pPr>
      <w:r>
        <w:t>(h) Fees. The plan fiduciary must consider a reasonable number of similar alternatives and determine that the fees and expenses of the designated investment alternative are appropriate, taking into account its risk-adjusted expected returns and any other value the designated investment alternative brings to furthering the purposes of the plan. For this purpose, the term “value” includes any benefits, features, or services other than risk-adjusted returns. Section 404(a)(1)(B) of ERISA and paragraph (h) of this section are not violated solely because the fiduciary does not select the alternative with the lowest fees and expenses from among the alternatives considered. For example, a prudent plan fiduciary could choose to pay more in exchange for greater services.</w:t>
      </w:r>
    </w:p>
    <w:p>
      <w:pPr>
        <w:pStyle w:val="IntenseQuote"/>
      </w:pPr>
      <w:r>
        <w:t>(i) Liquidity. The fiduciary must appropriately consider and determine that the designated investment alternative will have sufficient liquidity to meet the anticipated needs of the plan at both the plan and individual levels. For example, because participant-directed individual account plans are long-term retirement savings vehicles, particularly for participants early in their careers, there is no requirement that a fiduciary select only fully liquid products. Indeed, a prudent fiduciary process may regularly lead to a decision to sacrifice some plan- or individual-level liquidity, or both, in pursuit of additional risk-adjusted return.</w:t>
      </w:r>
    </w:p>
    <w:p>
      <w:pPr>
        <w:pStyle w:val="IntenseQuote"/>
      </w:pPr>
      <w:r>
        <w:t>(j) Valuation. The fiduciary must appropriately consider and determine that the designated investment alternative has adopted adequate measures to ensure that the designated investment alternative is capable of being timely and accurately valued in accordance with the needs of the plan.</w:t>
      </w:r>
    </w:p>
    <w:p>
      <w:pPr>
        <w:pStyle w:val="IntenseQuote"/>
      </w:pPr>
      <w:r>
        <w:t>(k) Performance benchmark. The plan fiduciary must appropriately consider and determine that each designated investment alternative has a meaningful benchmark, and compare the risk-adjusted expected returns of the designated investment alternative to the meaningful benchmark. There may be more than one meaningful benchmark for a designated investment alternative, however no single benchmark is a meaningful benchmark for all designated investment alternatives on a plan investment menu. A “meaningful benchmark” is an investment, strategy, index, or other comparator that has similar mandates, strategies, objectives, and risks to the designated investment alternative. The “risk-adjusted expected returns” of the designated investment alternative may be determined based on its historical performance unless it has none, in which case it may be determined based on the historical performance of a different investment with similar mandates, strategies, objectives, and risks and that is not the meaningful benchmark. While a plan fiduciary should identify benchmarks that are as meaningful as possible, there is no presumption or preference against new or innovative designated investment alternative designs. Instead, when considering a new or innovative product design, a fiduciary should seek to identify the best possible comparators to it while also scrutinizing the potential value proposition presented by the new or innovative design.</w:t>
      </w:r>
    </w:p>
    <w:p>
      <w:pPr>
        <w:pStyle w:val="IntenseQuote"/>
      </w:pPr>
      <w:r>
        <w:t>(l) Complexity. The plan fiduciary must appropriately consider the complexity of the designated investment alternative and determine that it has the skills, knowledge, experience, and capacity to comprehend it sufficiently to discharge its obligations under ERISA and the governing plan documents or whether it must seek assistance from a qualified investment advice fiduciary, investment manager, or other individual.</w:t>
      </w:r>
    </w:p>
    <w:p>
      <w:r>
        <w:t>Source: Federal Register document 2026-06178, fetched 2026-09-07T06:19:25+00:00, content hash aef7a94680824e55. Nothing in the quoted text is Tark's.</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the evidence ledger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1.8 KS-PME 1.59 vs PSP (reference, not the benchmark). 1.11 inception 2014-09-30, 11.5 years.</w:t>
            </w:r>
          </w:p>
          <w:p>
            <w:r>
              <w:t>1.1 Net total return series (extracted-unverified): NAV-based net total return series, fiscal years ended March 31, all five classes printed.</w:t>
            </w:r>
          </w:p>
          <w:p>
            <w:r>
              <w:t>1.2 Trailing &amp; calendar-year returns (extracted-unverified): Average annual total returns as of 3/31/2026 (1yr / 5yr / 10yr / since inception, inception date): Class 4: 9.10% / 11.12% / 13.16% / 11.63% (09/30/14); Class 3: 8.88 / 10.84 / 12.87 / 12.50 (10/27/15); Class 2: 8.60 / 10.56 / 12.60 / 12.21 (10/27/15); Class 1: 8.35 / 10.29 / 12.20 / 11.81 (10/27/15); Class 5 (includes max 3.50% sales load): 4.29 / 9.23 / - / 12.72 (07/31/20).</w:t>
            </w:r>
          </w:p>
          <w:p>
            <w:r>
              <w:t>1.3 Gross vs net spread (partial): PARTIAL: no gross-of-fees RETURN series is printed in any on-disk document - only net total returns.</w:t>
            </w:r>
          </w:p>
          <w:p>
            <w:r>
              <w:t>1.4 Distribution history &amp; composition (extracted-unverified): Distributions declared/paid at least annually; identical per-unit across classes: FY2026 $0.63, FY2025 $0.25, FY2024 $0.17, FY2023 $0.41, FY2022 $0.72 - all from net realized gain on investments.</w:t>
            </w:r>
          </w:p>
          <w:p>
            <w:r>
              <w:t>1.8 Risk-adjusted metrics (PME etc) (computed): Meaningful benchmark (paragraph (k)), Cambridge Associates US PE benchmark scored 9/12: no comparison computed (cited, series not in the record: no comparison computed).</w:t>
            </w:r>
          </w:p>
          <w:p>
            <w:r>
              <w:t>1.9 Stress-window performance (computed): Stress observation from the printed fiscal-year returns on record.</w:t>
            </w:r>
          </w:p>
          <w:p>
            <w:r>
              <w:t>1.11 Track record &amp; manager tenure (extracted-unverified): Fund inception 09/30/14 (Class 4 inception date; the performance table's dagger footnote marks 09/30/14 as the Fund's inception) - approx. 11.5-year track record at FYE 2026-03-31.</w:t>
            </w:r>
          </w:p>
          <w:p>
            <w:r>
              <w:t>1.12 Peer comparison (paragraphs (g) and (h)) (computed): Peer comparison (paragraphs (g) and (h)): evergreen private equity cohort, peers Hamilton Lane Private Assets Fund, StepStone Private Markets, KKR Private Equity Conglomerate LLC, Ares Private Markets Fund, fund return basis filed fiscal-year returns.</w:t>
            </w:r>
          </w:p>
          <w:p>
            <w:r>
              <w:t>Not applicable: 1.5 underlying fund/GP-level performance (IRR/MOIC/TVPI) is not printed in any on-disk filing. 1.6 sub-annual return series not free-public for this wrapper. 1.7 sub-annual return series not free-public for this wrapper. 1.10 units are not traded in any market, so no market price or premium/discount exists.</w:t>
            </w:r>
          </w:p>
        </w:tc>
      </w:tr>
      <w:tr>
        <w:tc>
          <w:tcPr>
            <w:tcW w:type="dxa" w:w="1728"/>
          </w:tcPr>
          <w:p>
            <w:r>
              <w:t>2. Fees (h)</w:t>
            </w:r>
          </w:p>
        </w:tc>
        <w:tc>
          <w:tcPr>
            <w:tcW w:type="dxa" w:w="7632"/>
          </w:tcPr>
          <w:p>
            <w:r>
              <w:t>Typed facts: 2.1 0.70% on net assets. 2.2 incentive fee: none. 2.3 2.38% expense ratio, total annual expenses of the inception class, classes range 2.38% to 3.38%. 2.4 AFFE 0.81%. 2.7 early repurchase fee: 2% &lt; 1 year.</w:t>
            </w:r>
          </w:p>
          <w:p>
            <w:r>
              <w:t>2.1 Management fee (rate AND base) (extracted-unverified): RATE: 0.70% annual.</w:t>
            </w:r>
          </w:p>
          <w:p>
            <w:r>
              <w:t>2.2 Incentive fee terms (extracted-unverified): Documented absence at Fund/Master level: the N-2 fee tables for all five classes print only Management Fee, Distribution and/or Service Fee, Other Expenses, and Acquired Fund Fees and Expenses - no incentive or performance fee line.</w:t>
            </w:r>
          </w:p>
          <w:p>
            <w:r>
              <w:t>2.3 Total expense ratio &amp; waivers (extracted-unverified): N-2 fee tables, Total Annual Expenses (as % of net assets attributable to Units): Class 1 3.13%, Class 2 2.88%, Class 3 2.63%, Class 4 2.38%, Class 5 3.38% - each = 0.70% management + 0.75/0.50/0.25/0.00/1.00% distribution-service + 0.87% Other Expenses + 0.81% AFFE; no waiver line in the current tables.</w:t>
            </w:r>
          </w:p>
          <w:p>
            <w:r>
              <w:t>2.4 AFFE (extracted-unverified): AFFE 0.81% for every class (Class 1 table and Class 2-5 table identical).</w:t>
            </w:r>
          </w:p>
          <w:p>
            <w:r>
              <w:t>2.5 Underlying GP economics (extracted-unverified): Printed underlying-fund economics: Investment Funds generally charge a management fee of 1.00% to 2.00% and 10% to 20% of net profits as a carried interest allocation.</w:t>
            </w:r>
          </w:p>
          <w:p>
            <w:r>
              <w:t>2.6 Loads &amp; servicing fees (extracted-unverified): Sales loads: none for Classes 1-4; Class 5 max front-end sales load 3.50% (FY2026: Class 5 investors paid $2,274,007 in loads to distributor/sub-distributor/selling agents).</w:t>
            </w:r>
          </w:p>
          <w:p>
            <w:r>
              <w:t>2.7 Early repurchase fee (extracted-unverified): 2.00% early repurchase fee, charged on repurchase of Units at any time prior to the day immediately preceding the one-year anniversary of purchase (first-in-first-out basis); payable to and retained by the Fund for remaining Investors; Board may waive where in the Fund's best interests without unfair discrimination.</w:t>
            </w:r>
          </w:p>
          <w:p>
            <w:r>
              <w:t>2.9 Fee peer percentile (computed): Cohort placement (evergreen private equity cohort): mgmt fee: 10th percentile of cohort (n=5), below the median of 1.4 | expense ratio (bases differ, see notes): 30th percentile of cohort (n=5), below the median of 3.19 | repurchase cap: 50th percentile of cohort (n=5), at the median of 5.</w:t>
            </w:r>
          </w:p>
          <w:p>
            <w:r>
              <w:t>Not applicable: 2.8 CIT only. 2.10 requires the plan committee's own value-for-fees determination - workflow output, not public product data (inputs live in cells 2.1-2.7).</w:t>
            </w:r>
          </w:p>
        </w:tc>
      </w:tr>
      <w:tr>
        <w:tc>
          <w:tcPr>
            <w:tcW w:type="dxa" w:w="1728"/>
          </w:tcPr>
          <w:p>
            <w:r>
              <w:t>3. Liquidity (i)</w:t>
            </w:r>
          </w:p>
        </w:tc>
        <w:tc>
          <w:tcPr>
            <w:tcW w:type="dxa" w:w="7632"/>
          </w:tcPr>
          <w:p>
            <w:r>
              <w:t>Typed facts: 3.1 quarterly dealing, 5% cap per quarter. 3.3 repurchase cadence per year: 4. 3.9 structural verdict partial, plan-independent.</w:t>
            </w:r>
          </w:p>
          <w:p>
            <w:r>
              <w:t>3.1 Wrapper liquidity terms (extracted-unverified): Wrapper liquidity: unlisted tender-offer fund; no unitholder redemption right - repurchases only via written tenders at times/amounts/terms set by the Board in its sole discretion.</w:t>
            </w:r>
          </w:p>
          <w:p>
            <w:r>
              <w:t>3.2 Repurchase mechanics (extracted-unverified): Mechanics per live offer (SC TO-I filed 2026-08-03): tenders due 11:59 p.m. ET 2026-08-28; purchase price = class NAV as of Valuation Date 2026-09-30 (approx. one month after expiration); payment in cash or a non-interest-bearing uncertificated debt obligation for the Valuation-Date value; withdrawal rights until expiration; some Members must route the Letter of Transmittal via their Financial Advisor.</w:t>
            </w:r>
          </w:p>
          <w:p>
            <w:r>
              <w:t>3.3 Repurchase history (extracted-unverified): As disclosed (recorded 2026-08-15): live offer (launched 2026-08-03, expires 2026-08-28) for up to 11,957,272 Units, approx. 5% of the 239,145,444 Units outstanding at 5/31/2026.</w:t>
            </w:r>
          </w:p>
          <w:p>
            <w:r>
              <w:t>3.4 Portfolio liquidity profile (extracted-unverified): Master Fund holdings attributes table at 3/31/2026: every private investment category 'Not Redeemable', redemption frequency/notice N/A, remaining lives up to 12 years.</w:t>
            </w:r>
          </w:p>
          <w:p>
            <w:r>
              <w:t>3.6 Fund leverage &amp; facilities (extracted-unverified): $1.5 billion revolving credit facility at the Master Fund (amended and restated 2025-12-18, up from $800M, via syndication with three additional lenders plus an increased existing commitment); secured by Master Fund assets incl. Corporate Subsidiary and Lead Fund assets (the Lead Fund was organized to facilitate the facility).</w:t>
            </w:r>
          </w:p>
          <w:p>
            <w:r>
              <w:t>3.7 Plan participant liquidity demand (computed, this plan): Plan-side demand profile for this plan (Form 5500, plan year 2024-01-01 to 2024-12-31): 1,136 separated participants with balances = 14.9% of 7,620 accounts (the near-term liquidity tail), 5,878 active, 669 retirees in pay status, filed outflow proxy 11.53% of beginning net assets (Schedule H totals).</w:t>
            </w:r>
          </w:p>
          <w:p>
            <w:r>
              <w:t>3.8 Redemption stress test (computed, this plan): ILLUSTRATIVE redemption stress test for this plan: filed outflow proxy 11.53% of the position, slider assumption 7.2%, stressed demand 16.6% vs 20% annual wrapper capacity, within wrapper capacity (16.6% vs 20%) IF offers are not prorated. Source: this plan's liquidity match.</w:t>
            </w:r>
          </w:p>
          <w:p>
            <w:r>
              <w:t>3.9 Product-to-plan liquidity match (computed, this plan): Structural liquidity verdict PARTIAL (typed facts, plan-independent). Scenario verdict under this plan (ILLUSTRATIVE): CONDITIONAL. Source: this plan's liquidity match.</w:t>
            </w:r>
          </w:p>
          <w:p>
            <w:r>
              <w:t>Not applicable: 3.5 CIT only.</w:t>
            </w:r>
          </w:p>
        </w:tc>
      </w:tr>
      <w:tr>
        <w:tc>
          <w:tcPr>
            <w:tcW w:type="dxa" w:w="1728"/>
          </w:tcPr>
          <w:p>
            <w:r>
              <w:t>4. Valuation (j)</w:t>
            </w:r>
          </w:p>
        </w:tc>
        <w:tc>
          <w:tcPr>
            <w:tcW w:type="dxa" w:w="7632"/>
          </w:tcPr>
          <w:p>
            <w:r>
              <w:t>Typed facts: 4.5 KPMG LLP (Big 4).</w:t>
            </w:r>
          </w:p>
          <w:p>
            <w:r>
              <w:t>4.1 Valuation policy &amp; NAV frequency (extracted-unverified): NAV FREQUENCY: monthly - NAV of the Master Fund and each class calculated as of close of business on the last business day of each calendar month, plus any distribution date and other Board-determined times ('Determination Dates'); expenses accrued monthly.</w:t>
            </w:r>
          </w:p>
          <w:p>
            <w:r>
              <w:t>4.2 Fair-value hierarchy (L1/2/3) (extracted-unverified): Master Fund consolidated hierarchy at 3/31/2026: Level 1 $581,361,401 (common stock $48.1M + short-term other-investment-companies $533.3M); Level 2 $0; Level 3 $325,527,462 (co-investments $315.9M + primary funds $9.7M); investments valued at NAV as practical expedient $5,754,271,490 (co-investments $2,053.3M, primaries $562.8M, secondaries $3,138.2M); total investments $6,661,160,353 - i.e., 86.4% NAV-expedient, 4.9% Level 3.</w:t>
            </w:r>
          </w:p>
          <w:p>
            <w:r>
              <w:t>4.3 Independent valuation agent (partial): PARTIAL: no independent valuation agent is NAMED and no standing engagement is disclosed.</w:t>
            </w:r>
          </w:p>
          <w:p>
            <w:r>
              <w:t>4.4 Methodology by asset type (extracted-unverified): By asset type (Master Fund Note 1a + L3 quantitative table at 3/31/2026): direct investments/certain co-investments - market or income approach (techniques printed: recent round of financing/option pricing model with term 1.75-5.00 and volatility 40-75%; market comparables with EBITDA multiples 8.25x-18.30x avg 13.21x; guideline transaction multiples; discounted cash flow).</w:t>
            </w:r>
          </w:p>
          <w:p>
            <w:r>
              <w:t>4.5 Auditor &amp; opinion (extracted-unverified): KPMG LLP, New York, New York; report dated May 29, 2026; unqualified opinion on the Fund's FY2026 financial statements and five years of financial highlights ('present fairly, in all material respects'); PCAOB-registered; signature block states auditor since 2021.</w:t>
            </w:r>
          </w:p>
          <w:p>
            <w:r>
              <w:t>4.6 NAV restatement history (extracted-unverified): None identified: searched all four on-disk documents (N-CSR FY2026, N-2 2026-07-30, SC TO-I 2026-08-03, 424B3 2025-08-01) for 'restat' and 'error correction' on 2026-08-15 - zero NAV-restatement hits; every occurrence is 'amended and restated' credit-agreement/LLC-certificate boilerplate (N-CSR 1, N-2 13, 424B3 6, SC TO-I 0).</w:t>
            </w:r>
          </w:p>
          <w:p>
            <w:r>
              <w:t>Not applicable: 4.7 no market price for a non-listed NAV-transaction wrapper. 4.8 sub-annual return series not free-public for this wrapper. 4.9 CIT only.</w:t>
            </w:r>
          </w:p>
        </w:tc>
      </w:tr>
      <w:tr>
        <w:tc>
          <w:tcPr>
            <w:tcW w:type="dxa" w:w="1728"/>
          </w:tcPr>
          <w:p>
            <w:r>
              <w:t>5. Performance Benchmarks (k)</w:t>
            </w:r>
          </w:p>
        </w:tc>
        <w:tc>
          <w:tcPr>
            <w:tcW w:type="dxa" w:w="7632"/>
          </w:tcPr>
          <w:p>
            <w:r>
              <w:t>Typed facts: 5.3 Cambridge PE benchmark selected, 9/12.</w:t>
            </w:r>
          </w:p>
          <w:p>
            <w:r>
              <w:t>5.1 Self-declared benchmark (extracted-unverified): Self-declared comparison index in the annual report: MSCI World Index - used in both the cumulative-return graph (hypothetical $50,000,000 in Class 4 units vs the index) and the Average Annual Total Returns table (MSCI World rows measured from Fund inception 09/30/14: 1yr 18.90%, 5yr 10.27%, 10yr 11.80%, SI 10.16%).</w:t>
            </w:r>
          </w:p>
          <w:p>
            <w:r>
              <w:t>5.3 Alt asset-class indices (computed): Candidates evaluated for the meaningful-benchmark slot, paragraph (k) (Tark benchmark rubric, 12 points, threshold 7 of 12, strategy gate below 2 of 3 ineligible, an index published by the fund's own adviser ineligible).</w:t>
            </w:r>
          </w:p>
          <w:p>
            <w:r>
              <w:t>5.4 Peer universe &amp; returns (computed): Peer cohort: evergreen private equity cohort (n=5: Hamilton Lane Private Assets Fund, StepStone Private Markets, KKR Private Equity Conglomerate LLC, Ares Private Markets Fund, AMG Pantheon Fund, LLC).</w:t>
            </w:r>
          </w:p>
          <w:p>
            <w:r>
              <w:t>5.5 PME / Direct Alpha inputs (computed): PME inputs (computed, public market series Listed private equity investable proxy (PSP), reference comparison, not the meaningful benchmark): window 2019-03-31 to 2026-03-31 (series comparison, clipped: proxy series begins 2018-07-18, 3 fiscal year(s) outside it dropped).</w:t>
            </w:r>
          </w:p>
          <w:p>
            <w:r>
              <w:t>5.6 Benchmark suitability memo (computed): Benchmark suitability (Tark benchmark rubric, 12 points).</w:t>
            </w:r>
          </w:p>
          <w:p>
            <w:r>
              <w:t>5.7 Case-law tracker (partial): Anderson v. Intel Corp. Investment Policy Committee, No. 25-498 (U.S.).</w:t>
            </w:r>
          </w:p>
        </w:tc>
      </w:tr>
      <w:tr>
        <w:tc>
          <w:tcPr>
            <w:tcW w:type="dxa" w:w="1728"/>
          </w:tcPr>
          <w:p>
            <w:r>
              <w:t>6. Complexity (l)</w:t>
            </w:r>
          </w:p>
        </w:tc>
        <w:tc>
          <w:tcPr>
            <w:tcW w:type="dxa" w:w="7632"/>
          </w:tcPr>
          <w:p>
            <w:r>
              <w:t>Typed facts: 6.1 tender-offer fund. 6.4 Form 1099.</w:t>
            </w:r>
          </w:p>
          <w:p>
            <w:r>
              <w:t>6.1 Structure map (extracted-unverified): Master-feeder: AMG Pantheon Fund, LLC (Delaware LLC, closed-end non-diversified, perpetual term, five unit classes, CIK 1609211) is a feeder investing substantially all assets in AMG Pantheon Master Fund, LLC (affiliate; Fund owned 96% of Master units at 3/31/2026).</w:t>
            </w:r>
          </w:p>
          <w:p>
            <w:r>
              <w:t>6.2 Strategy &amp; instrument complexity (extracted-unverified): Evergreen private-equity vehicle, objective long-term capital appreciation; strategy mix at 3/31/2026 (Master SOI): secondaries $3,138.2M + co-investments $2,369.1M + primary funds $572.5M + common stock $48.1M + short-term $533.3M = $6,661.2M total investments.</w:t>
            </w:r>
          </w:p>
          <w:p>
            <w:r>
              <w:t>6.3 Conflicts &amp; affiliated transactions (extracted-unverified): Printed conflicts web: AMG (Affiliated Managers Group, Inc.) indirectly owns a majority of the Adviser (Pantheon); the Administrator (AMG Funds LLC, AMG's US wealth platform) and Distributor (AMG Distributors, Inc., wholly-owned by the Administrator) sit on the AMG side, while sub-administrator and sub-distributor (Pantheon Securities, LLC) are Adviser affiliates.</w:t>
            </w:r>
          </w:p>
          <w:p>
            <w:r>
              <w:t>6.4 Tax reporting (1099 vs K-1) (extracted-unverified): Form 1099-DIV literally printed (Other Tax Information): investors receive Form 1099-DIV showing the tax status of distributions - no K-1.</w:t>
            </w:r>
          </w:p>
          <w:p>
            <w:r>
              <w:t>6.5 Service-provider web (extracted-unverified): Adviser/Investment Manager: Pantheon Ventures (US) LP (San Francisco; also sub-administrator).</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r>
        <w:t>Return basis for every comparison in this section: filed fiscal-year returns.</w:t>
      </w:r>
    </w:p>
    <w:p>
      <w:pPr>
        <w:pStyle w:val="Heading2"/>
      </w:pPr>
      <w:r>
        <w:t>Meaningful benchmark (paragraph (k)): Cambridge Associates US PE benchmark (score 9/12)</w:t>
      </w:r>
    </w:p>
    <w:p>
      <w:r>
        <w:t>Comparison not computed: cited, series not in the record: no comparison computed. The candidate is selected on its own descriptors. No number is substituted.</w:t>
      </w:r>
    </w:p>
    <w:p>
      <w:pPr>
        <w:pStyle w:val="ListBullet"/>
      </w:pPr>
      <w:r>
        <w:t>strategy_match 3/3: a private-market index of private equity for a evergreen private equity fund</w:t>
      </w:r>
    </w:p>
    <w:p>
      <w:pPr>
        <w:pStyle w:val="ListBullet"/>
      </w:pPr>
      <w:r>
        <w:t>risk_liquidity_match 2/3: appraisal-based index without a dealing mechanism of its own against a NAV fund (quarterly dealing at NAV under 5% cap per quarter): the pricing process matches, the liquidity terms cannot</w:t>
      </w:r>
    </w:p>
    <w:p>
      <w:pPr>
        <w:pStyle w:val="ListBullet"/>
      </w:pPr>
      <w:r>
        <w:t>provider_independence 2/2: provider unaffiliated with the fund (Cambridge Associates): the registry affiliation map ties it to none of the fund's advisers</w:t>
      </w:r>
    </w:p>
    <w:p>
      <w:pPr>
        <w:pStyle w:val="ListBullet"/>
      </w:pPr>
      <w:r>
        <w:t>data_held 0/2: licensed series not held (no subscription): the candidate is cited, not computed</w:t>
      </w:r>
    </w:p>
    <w:p>
      <w:pPr>
        <w:pStyle w:val="ListBullet"/>
      </w:pPr>
      <w:r>
        <w:t>pricing_basis_match 2/2: both appraisal-based NAV series</w:t>
      </w:r>
    </w:p>
    <w:p>
      <w:pPr>
        <w:pStyle w:val="Heading2"/>
      </w:pPr>
      <w:r>
        <w:t>Reference comparison, not the meaningful benchmark: Listed private equity investable proxy (PSP)</w:t>
      </w:r>
    </w:p>
    <w:p>
      <w:r>
        <w:t>Reference comparison on the highest-ranked held public market series: not the meaningful benchmark.</w:t>
      </w:r>
    </w:p>
    <w:p>
      <w:r>
        <w:t>Window 2019-03-31 to 2026-03-31 (clipped: proxy series begins 2018-07-18, 3 fiscal year(s) outside it dropped): fund 13.3%/yr (filed fiscal-year returns) vs the public series 6.02%/yr, KS-PME 1.5919, Direct Alpha 6.87%/yr.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pPr>
        <w:pStyle w:val="Heading2"/>
      </w:pPr>
      <w:r>
        <w:t>Declared benchmark and SEC-required comparators (cell 5.1)</w:t>
      </w:r>
    </w:p>
    <w:p>
      <w:r>
        <w:t>SEC-required comparator: MSCI World Index, held, scored 7/12, fails the strategy gate (strategy_match 1/3). The declaration itself earns no points.</w:t>
      </w:r>
    </w:p>
    <w:p>
      <w:r>
        <w:t>Window 2019-03-31 to 2026-03-31 (clipped: proxy series begins 2018-07-18, 3 fiscal year(s) outside it dropped): fund 13.3%/yr (filed fiscal-year returns) vs MSCI World Index 12.54%/yr, KS-PME 1.0483, Direct Alpha 0.68%/yr.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r>
        <w:t>Declared benchmark: none. cell 5.1: comparison index of the annual report's required performance presentation, no benchmark the fund is managed to.</w:t>
      </w:r>
    </w:p>
    <w:p>
      <w:pPr>
        <w:pStyle w:val="Heading2"/>
      </w:pPr>
      <w:r>
        <w:t>Peer comparison (paragraphs (g) and (h)): evergreen private equity cohort</w:t>
      </w:r>
    </w:p>
    <w:p>
      <w:r>
        <w:t>Peers: Hamilton Lane Private Assets Fund, StepStone Private Markets, KKR Private Equity Conglomerate LLC, Ares Private Markets Fund. This is the history of similar investments, not the benchmark, and it is never a public market equivalent.</w:t>
      </w:r>
    </w:p>
    <w:p>
      <w:r>
        <w:t>Composite refused: members report on different year ends and no member has a series that builds a common calendar period (Hamilton Lane Private Assets Fund fiscal years to month 03, StepStone Private Markets fiscal years to month 03, KKR Private Equity Conglomerate LLC calendar years, Ares Private Markets Fund fiscal years to month 03, AMG Pantheon Fund, LLC fiscal years to month 03). A composite needs identical start and end dates for every member. The side-by-side table is shown without a ratio.</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Period</w:t>
            </w:r>
          </w:p>
        </w:tc>
        <w:tc>
          <w:tcPr>
            <w:tcW w:type="dxa" w:w="1337"/>
          </w:tcPr>
          <w:p>
            <w:r>
              <w:t>n</w:t>
            </w:r>
          </w:p>
        </w:tc>
        <w:tc>
          <w:tcPr>
            <w:tcW w:type="dxa" w:w="1337"/>
          </w:tcPr>
          <w:p>
            <w:r>
              <w:t>AMG Pantheon Fund, LLC</w:t>
            </w:r>
          </w:p>
        </w:tc>
        <w:tc>
          <w:tcPr>
            <w:tcW w:type="dxa" w:w="1337"/>
          </w:tcPr>
          <w:p>
            <w:r>
              <w:t>Hamilton Lane Private Assets Fund</w:t>
            </w:r>
          </w:p>
        </w:tc>
        <w:tc>
          <w:tcPr>
            <w:tcW w:type="dxa" w:w="1337"/>
          </w:tcPr>
          <w:p>
            <w:r>
              <w:t>StepStone Private Markets</w:t>
            </w:r>
          </w:p>
        </w:tc>
        <w:tc>
          <w:tcPr>
            <w:tcW w:type="dxa" w:w="1337"/>
          </w:tcPr>
          <w:p>
            <w:r>
              <w:t>KKR Private Equity Conglomerate LLC</w:t>
            </w:r>
          </w:p>
        </w:tc>
        <w:tc>
          <w:tcPr>
            <w:tcW w:type="dxa" w:w="1337"/>
          </w:tcPr>
          <w:p>
            <w:r>
              <w:t>Ares Private Markets Fund</w:t>
            </w:r>
          </w:p>
        </w:tc>
      </w:tr>
      <w:tr>
        <w:tc>
          <w:tcPr>
            <w:tcW w:type="dxa" w:w="1337"/>
          </w:tcPr>
          <w:p>
            <w:r>
              <w:t>FY2017 (year to 2017-03-31)</w:t>
            </w:r>
          </w:p>
        </w:tc>
        <w:tc>
          <w:tcPr>
            <w:tcW w:type="dxa" w:w="1337"/>
          </w:tcPr>
          <w:p>
            <w:r>
              <w:t>1</w:t>
            </w:r>
          </w:p>
        </w:tc>
        <w:tc>
          <w:tcPr>
            <w:tcW w:type="dxa" w:w="1337"/>
          </w:tcPr>
          <w:p>
            <w:r>
              <w:t>14.27%</w:t>
            </w:r>
          </w:p>
        </w:tc>
        <w:tc>
          <w:tcPr>
            <w:tcW w:type="dxa" w:w="1337"/>
          </w:tcPr>
          <w:p>
            <w:r>
              <w:t>n/a</w:t>
            </w:r>
          </w:p>
        </w:tc>
        <w:tc>
          <w:tcPr>
            <w:tcW w:type="dxa" w:w="1337"/>
          </w:tcPr>
          <w:p>
            <w:r>
              <w:t>n/a</w:t>
            </w:r>
          </w:p>
        </w:tc>
        <w:tc>
          <w:tcPr>
            <w:tcW w:type="dxa" w:w="1337"/>
          </w:tcPr>
          <w:p>
            <w:r>
              <w:t>n/a</w:t>
            </w:r>
          </w:p>
        </w:tc>
        <w:tc>
          <w:tcPr>
            <w:tcW w:type="dxa" w:w="1337"/>
          </w:tcPr>
          <w:p>
            <w:r>
              <w:t>n/a</w:t>
            </w:r>
          </w:p>
        </w:tc>
      </w:tr>
      <w:tr>
        <w:tc>
          <w:tcPr>
            <w:tcW w:type="dxa" w:w="1337"/>
          </w:tcPr>
          <w:p>
            <w:r>
              <w:t>FY2018 (year to 2018-03-31)</w:t>
            </w:r>
          </w:p>
        </w:tc>
        <w:tc>
          <w:tcPr>
            <w:tcW w:type="dxa" w:w="1337"/>
          </w:tcPr>
          <w:p>
            <w:r>
              <w:t>1</w:t>
            </w:r>
          </w:p>
        </w:tc>
        <w:tc>
          <w:tcPr>
            <w:tcW w:type="dxa" w:w="1337"/>
          </w:tcPr>
          <w:p>
            <w:r>
              <w:t>14.26%</w:t>
            </w:r>
          </w:p>
        </w:tc>
        <w:tc>
          <w:tcPr>
            <w:tcW w:type="dxa" w:w="1337"/>
          </w:tcPr>
          <w:p>
            <w:r>
              <w:t>n/a</w:t>
            </w:r>
          </w:p>
        </w:tc>
        <w:tc>
          <w:tcPr>
            <w:tcW w:type="dxa" w:w="1337"/>
          </w:tcPr>
          <w:p>
            <w:r>
              <w:t>n/a</w:t>
            </w:r>
          </w:p>
        </w:tc>
        <w:tc>
          <w:tcPr>
            <w:tcW w:type="dxa" w:w="1337"/>
          </w:tcPr>
          <w:p>
            <w:r>
              <w:t>n/a</w:t>
            </w:r>
          </w:p>
        </w:tc>
        <w:tc>
          <w:tcPr>
            <w:tcW w:type="dxa" w:w="1337"/>
          </w:tcPr>
          <w:p>
            <w:r>
              <w:t>n/a</w:t>
            </w:r>
          </w:p>
        </w:tc>
      </w:tr>
      <w:tr>
        <w:tc>
          <w:tcPr>
            <w:tcW w:type="dxa" w:w="1337"/>
          </w:tcPr>
          <w:p>
            <w:r>
              <w:t>FY2019 (year to 2019-03-31)</w:t>
            </w:r>
          </w:p>
        </w:tc>
        <w:tc>
          <w:tcPr>
            <w:tcW w:type="dxa" w:w="1337"/>
          </w:tcPr>
          <w:p>
            <w:r>
              <w:t>1</w:t>
            </w:r>
          </w:p>
        </w:tc>
        <w:tc>
          <w:tcPr>
            <w:tcW w:type="dxa" w:w="1337"/>
          </w:tcPr>
          <w:p>
            <w:r>
              <w:t>10.11%</w:t>
            </w:r>
          </w:p>
        </w:tc>
        <w:tc>
          <w:tcPr>
            <w:tcW w:type="dxa" w:w="1337"/>
          </w:tcPr>
          <w:p>
            <w:r>
              <w:t>n/a</w:t>
            </w:r>
          </w:p>
        </w:tc>
        <w:tc>
          <w:tcPr>
            <w:tcW w:type="dxa" w:w="1337"/>
          </w:tcPr>
          <w:p>
            <w:r>
              <w:t>n/a</w:t>
            </w:r>
          </w:p>
        </w:tc>
        <w:tc>
          <w:tcPr>
            <w:tcW w:type="dxa" w:w="1337"/>
          </w:tcPr>
          <w:p>
            <w:r>
              <w:t>n/a</w:t>
            </w:r>
          </w:p>
        </w:tc>
        <w:tc>
          <w:tcPr>
            <w:tcW w:type="dxa" w:w="1337"/>
          </w:tcPr>
          <w:p>
            <w:r>
              <w:t>n/a</w:t>
            </w:r>
          </w:p>
        </w:tc>
      </w:tr>
      <w:tr>
        <w:tc>
          <w:tcPr>
            <w:tcW w:type="dxa" w:w="1337"/>
          </w:tcPr>
          <w:p>
            <w:r>
              <w:t>FY2020 (year to 2020-03-31)</w:t>
            </w:r>
          </w:p>
        </w:tc>
        <w:tc>
          <w:tcPr>
            <w:tcW w:type="dxa" w:w="1337"/>
          </w:tcPr>
          <w:p>
            <w:r>
              <w:t>1</w:t>
            </w:r>
          </w:p>
        </w:tc>
        <w:tc>
          <w:tcPr>
            <w:tcW w:type="dxa" w:w="1337"/>
          </w:tcPr>
          <w:p>
            <w:r>
              <w:t>4.15%</w:t>
            </w:r>
          </w:p>
        </w:tc>
        <w:tc>
          <w:tcPr>
            <w:tcW w:type="dxa" w:w="1337"/>
          </w:tcPr>
          <w:p>
            <w:r>
              <w:t>n/a</w:t>
            </w:r>
          </w:p>
        </w:tc>
        <w:tc>
          <w:tcPr>
            <w:tcW w:type="dxa" w:w="1337"/>
          </w:tcPr>
          <w:p>
            <w:r>
              <w:t>n/a</w:t>
            </w:r>
          </w:p>
        </w:tc>
        <w:tc>
          <w:tcPr>
            <w:tcW w:type="dxa" w:w="1337"/>
          </w:tcPr>
          <w:p>
            <w:r>
              <w:t>n/a</w:t>
            </w:r>
          </w:p>
        </w:tc>
        <w:tc>
          <w:tcPr>
            <w:tcW w:type="dxa" w:w="1337"/>
          </w:tcPr>
          <w:p>
            <w:r>
              <w:t>n/a</w:t>
            </w:r>
          </w:p>
        </w:tc>
      </w:tr>
      <w:tr>
        <w:tc>
          <w:tcPr>
            <w:tcW w:type="dxa" w:w="1337"/>
          </w:tcPr>
          <w:p>
            <w:r>
              <w:t>FY2021 (year to 2021-03-31)</w:t>
            </w:r>
          </w:p>
        </w:tc>
        <w:tc>
          <w:tcPr>
            <w:tcW w:type="dxa" w:w="1337"/>
          </w:tcPr>
          <w:p>
            <w:r>
              <w:t>1</w:t>
            </w:r>
          </w:p>
        </w:tc>
        <w:tc>
          <w:tcPr>
            <w:tcW w:type="dxa" w:w="1337"/>
          </w:tcPr>
          <w:p>
            <w:r>
              <w:t>35.72%</w:t>
            </w:r>
          </w:p>
        </w:tc>
        <w:tc>
          <w:tcPr>
            <w:tcW w:type="dxa" w:w="1337"/>
          </w:tcPr>
          <w:p>
            <w:r>
              <w:t>n/a</w:t>
            </w:r>
          </w:p>
        </w:tc>
        <w:tc>
          <w:tcPr>
            <w:tcW w:type="dxa" w:w="1337"/>
          </w:tcPr>
          <w:p>
            <w:r>
              <w:t>n/a</w:t>
            </w:r>
          </w:p>
        </w:tc>
        <w:tc>
          <w:tcPr>
            <w:tcW w:type="dxa" w:w="1337"/>
          </w:tcPr>
          <w:p>
            <w:r>
              <w:t>n/a</w:t>
            </w:r>
          </w:p>
        </w:tc>
        <w:tc>
          <w:tcPr>
            <w:tcW w:type="dxa" w:w="1337"/>
          </w:tcPr>
          <w:p>
            <w:r>
              <w:t>n/a</w:t>
            </w:r>
          </w:p>
        </w:tc>
      </w:tr>
      <w:tr>
        <w:tc>
          <w:tcPr>
            <w:tcW w:type="dxa" w:w="1337"/>
          </w:tcPr>
          <w:p>
            <w:r>
              <w:t>FY2022 (year to 2022-03-31)</w:t>
            </w:r>
          </w:p>
        </w:tc>
        <w:tc>
          <w:tcPr>
            <w:tcW w:type="dxa" w:w="1337"/>
          </w:tcPr>
          <w:p>
            <w:r>
              <w:t>3</w:t>
            </w:r>
          </w:p>
        </w:tc>
        <w:tc>
          <w:tcPr>
            <w:tcW w:type="dxa" w:w="1337"/>
          </w:tcPr>
          <w:p>
            <w:r>
              <w:t>18.36%</w:t>
            </w:r>
          </w:p>
        </w:tc>
        <w:tc>
          <w:tcPr>
            <w:tcW w:type="dxa" w:w="1337"/>
          </w:tcPr>
          <w:p>
            <w:r>
              <w:t>20.77%</w:t>
            </w:r>
          </w:p>
        </w:tc>
        <w:tc>
          <w:tcPr>
            <w:tcW w:type="dxa" w:w="1337"/>
          </w:tcPr>
          <w:p>
            <w:r>
              <w:t>29.43%</w:t>
            </w:r>
          </w:p>
        </w:tc>
        <w:tc>
          <w:tcPr>
            <w:tcW w:type="dxa" w:w="1337"/>
          </w:tcPr>
          <w:p>
            <w:r>
              <w:t>n/a</w:t>
            </w:r>
          </w:p>
        </w:tc>
        <w:tc>
          <w:tcPr>
            <w:tcW w:type="dxa" w:w="1337"/>
          </w:tcPr>
          <w:p>
            <w:r>
              <w:t>n/a</w:t>
            </w:r>
          </w:p>
        </w:tc>
      </w:tr>
      <w:tr>
        <w:tc>
          <w:tcPr>
            <w:tcW w:type="dxa" w:w="1337"/>
          </w:tcPr>
          <w:p>
            <w:r>
              <w:t>FY2023 (year to 2023-03-31)</w:t>
            </w:r>
          </w:p>
        </w:tc>
        <w:tc>
          <w:tcPr>
            <w:tcW w:type="dxa" w:w="1337"/>
          </w:tcPr>
          <w:p>
            <w:r>
              <w:t>4</w:t>
            </w:r>
          </w:p>
        </w:tc>
        <w:tc>
          <w:tcPr>
            <w:tcW w:type="dxa" w:w="1337"/>
          </w:tcPr>
          <w:p>
            <w:r>
              <w:t>6.45%</w:t>
            </w:r>
          </w:p>
        </w:tc>
        <w:tc>
          <w:tcPr>
            <w:tcW w:type="dxa" w:w="1337"/>
          </w:tcPr>
          <w:p>
            <w:r>
              <w:t>16.1%</w:t>
            </w:r>
          </w:p>
        </w:tc>
        <w:tc>
          <w:tcPr>
            <w:tcW w:type="dxa" w:w="1337"/>
          </w:tcPr>
          <w:p>
            <w:r>
              <w:t>8.23%</w:t>
            </w:r>
          </w:p>
        </w:tc>
        <w:tc>
          <w:tcPr>
            <w:tcW w:type="dxa" w:w="1337"/>
          </w:tcPr>
          <w:p>
            <w:r>
              <w:t>n/a</w:t>
            </w:r>
          </w:p>
        </w:tc>
        <w:tc>
          <w:tcPr>
            <w:tcW w:type="dxa" w:w="1337"/>
          </w:tcPr>
          <w:p>
            <w:r>
              <w:t>9.27%</w:t>
            </w:r>
          </w:p>
        </w:tc>
      </w:tr>
      <w:tr>
        <w:tc>
          <w:tcPr>
            <w:tcW w:type="dxa" w:w="1337"/>
          </w:tcPr>
          <w:p>
            <w:r>
              <w:t>FY2024 (year to 2024-03-31)</w:t>
            </w:r>
          </w:p>
        </w:tc>
        <w:tc>
          <w:tcPr>
            <w:tcW w:type="dxa" w:w="1337"/>
          </w:tcPr>
          <w:p>
            <w:r>
              <w:t>4</w:t>
            </w:r>
          </w:p>
        </w:tc>
        <w:tc>
          <w:tcPr>
            <w:tcW w:type="dxa" w:w="1337"/>
          </w:tcPr>
          <w:p>
            <w:r>
              <w:t>12.08%</w:t>
            </w:r>
          </w:p>
        </w:tc>
        <w:tc>
          <w:tcPr>
            <w:tcW w:type="dxa" w:w="1337"/>
          </w:tcPr>
          <w:p>
            <w:r>
              <w:t>12.68%</w:t>
            </w:r>
          </w:p>
        </w:tc>
        <w:tc>
          <w:tcPr>
            <w:tcW w:type="dxa" w:w="1337"/>
          </w:tcPr>
          <w:p>
            <w:r>
              <w:t>13.79%</w:t>
            </w:r>
          </w:p>
        </w:tc>
        <w:tc>
          <w:tcPr>
            <w:tcW w:type="dxa" w:w="1337"/>
          </w:tcPr>
          <w:p>
            <w:r>
              <w:t>n/a</w:t>
            </w:r>
          </w:p>
        </w:tc>
        <w:tc>
          <w:tcPr>
            <w:tcW w:type="dxa" w:w="1337"/>
          </w:tcPr>
          <w:p>
            <w:r>
              <w:t>17.1%</w:t>
            </w:r>
          </w:p>
        </w:tc>
      </w:tr>
      <w:tr>
        <w:tc>
          <w:tcPr>
            <w:tcW w:type="dxa" w:w="1337"/>
          </w:tcPr>
          <w:p>
            <w:r>
              <w:t>2024</w:t>
            </w:r>
          </w:p>
        </w:tc>
        <w:tc>
          <w:tcPr>
            <w:tcW w:type="dxa" w:w="1337"/>
          </w:tcPr>
          <w:p>
            <w:r>
              <w:t>1</w:t>
            </w:r>
          </w:p>
        </w:tc>
        <w:tc>
          <w:tcPr>
            <w:tcW w:type="dxa" w:w="1337"/>
          </w:tcPr>
          <w:p>
            <w:r>
              <w:t>n/a</w:t>
            </w:r>
          </w:p>
        </w:tc>
        <w:tc>
          <w:tcPr>
            <w:tcW w:type="dxa" w:w="1337"/>
          </w:tcPr>
          <w:p>
            <w:r>
              <w:t>n/a</w:t>
            </w:r>
          </w:p>
        </w:tc>
        <w:tc>
          <w:tcPr>
            <w:tcW w:type="dxa" w:w="1337"/>
          </w:tcPr>
          <w:p>
            <w:r>
              <w:t>n/a</w:t>
            </w:r>
          </w:p>
        </w:tc>
        <w:tc>
          <w:tcPr>
            <w:tcW w:type="dxa" w:w="1337"/>
          </w:tcPr>
          <w:p>
            <w:r>
              <w:t>11.82%</w:t>
            </w:r>
          </w:p>
        </w:tc>
        <w:tc>
          <w:tcPr>
            <w:tcW w:type="dxa" w:w="1337"/>
          </w:tcPr>
          <w:p>
            <w:r>
              <w:t>n/a</w:t>
            </w:r>
          </w:p>
        </w:tc>
      </w:tr>
      <w:tr>
        <w:tc>
          <w:tcPr>
            <w:tcW w:type="dxa" w:w="1337"/>
          </w:tcPr>
          <w:p>
            <w:r>
              <w:t>FY2025 (year to 2025-03-31)</w:t>
            </w:r>
          </w:p>
        </w:tc>
        <w:tc>
          <w:tcPr>
            <w:tcW w:type="dxa" w:w="1337"/>
          </w:tcPr>
          <w:p>
            <w:r>
              <w:t>4</w:t>
            </w:r>
          </w:p>
        </w:tc>
        <w:tc>
          <w:tcPr>
            <w:tcW w:type="dxa" w:w="1337"/>
          </w:tcPr>
          <w:p>
            <w:r>
              <w:t>10.07%</w:t>
            </w:r>
          </w:p>
        </w:tc>
        <w:tc>
          <w:tcPr>
            <w:tcW w:type="dxa" w:w="1337"/>
          </w:tcPr>
          <w:p>
            <w:r>
              <w:t>12.59%</w:t>
            </w:r>
          </w:p>
        </w:tc>
        <w:tc>
          <w:tcPr>
            <w:tcW w:type="dxa" w:w="1337"/>
          </w:tcPr>
          <w:p>
            <w:r>
              <w:t>10.76%</w:t>
            </w:r>
          </w:p>
        </w:tc>
        <w:tc>
          <w:tcPr>
            <w:tcW w:type="dxa" w:w="1337"/>
          </w:tcPr>
          <w:p>
            <w:r>
              <w:t>n/a</w:t>
            </w:r>
          </w:p>
        </w:tc>
        <w:tc>
          <w:tcPr>
            <w:tcW w:type="dxa" w:w="1337"/>
          </w:tcPr>
          <w:p>
            <w:r>
              <w:t>19.95%</w:t>
            </w:r>
          </w:p>
        </w:tc>
      </w:tr>
      <w:tr>
        <w:tc>
          <w:tcPr>
            <w:tcW w:type="dxa" w:w="1337"/>
          </w:tcPr>
          <w:p>
            <w:r>
              <w:t>2025</w:t>
            </w:r>
          </w:p>
        </w:tc>
        <w:tc>
          <w:tcPr>
            <w:tcW w:type="dxa" w:w="1337"/>
          </w:tcPr>
          <w:p>
            <w:r>
              <w:t>1</w:t>
            </w:r>
          </w:p>
        </w:tc>
        <w:tc>
          <w:tcPr>
            <w:tcW w:type="dxa" w:w="1337"/>
          </w:tcPr>
          <w:p>
            <w:r>
              <w:t>n/a</w:t>
            </w:r>
          </w:p>
        </w:tc>
        <w:tc>
          <w:tcPr>
            <w:tcW w:type="dxa" w:w="1337"/>
          </w:tcPr>
          <w:p>
            <w:r>
              <w:t>n/a</w:t>
            </w:r>
          </w:p>
        </w:tc>
        <w:tc>
          <w:tcPr>
            <w:tcW w:type="dxa" w:w="1337"/>
          </w:tcPr>
          <w:p>
            <w:r>
              <w:t>n/a</w:t>
            </w:r>
          </w:p>
        </w:tc>
        <w:tc>
          <w:tcPr>
            <w:tcW w:type="dxa" w:w="1337"/>
          </w:tcPr>
          <w:p>
            <w:r>
              <w:t>16.14%</w:t>
            </w:r>
          </w:p>
        </w:tc>
        <w:tc>
          <w:tcPr>
            <w:tcW w:type="dxa" w:w="1337"/>
          </w:tcPr>
          <w:p>
            <w:r>
              <w:t>n/a</w:t>
            </w:r>
          </w:p>
        </w:tc>
      </w:tr>
      <w:tr>
        <w:tc>
          <w:tcPr>
            <w:tcW w:type="dxa" w:w="1337"/>
          </w:tcPr>
          <w:p>
            <w:r>
              <w:t>FY2026 (year to 2026-03-31)</w:t>
            </w:r>
          </w:p>
        </w:tc>
        <w:tc>
          <w:tcPr>
            <w:tcW w:type="dxa" w:w="1337"/>
          </w:tcPr>
          <w:p>
            <w:r>
              <w:t>4</w:t>
            </w:r>
          </w:p>
        </w:tc>
        <w:tc>
          <w:tcPr>
            <w:tcW w:type="dxa" w:w="1337"/>
          </w:tcPr>
          <w:p>
            <w:r>
              <w:t>9.1%</w:t>
            </w:r>
          </w:p>
        </w:tc>
        <w:tc>
          <w:tcPr>
            <w:tcW w:type="dxa" w:w="1337"/>
          </w:tcPr>
          <w:p>
            <w:r>
              <w:t>14.6%</w:t>
            </w:r>
          </w:p>
        </w:tc>
        <w:tc>
          <w:tcPr>
            <w:tcW w:type="dxa" w:w="1337"/>
          </w:tcPr>
          <w:p>
            <w:r>
              <w:t>10.47%</w:t>
            </w:r>
          </w:p>
        </w:tc>
        <w:tc>
          <w:tcPr>
            <w:tcW w:type="dxa" w:w="1337"/>
          </w:tcPr>
          <w:p>
            <w:r>
              <w:t>n/a</w:t>
            </w:r>
          </w:p>
        </w:tc>
        <w:tc>
          <w:tcPr>
            <w:tcW w:type="dxa" w:w="1337"/>
          </w:tcPr>
          <w:p>
            <w:r>
              <w:t>9.58%</w:t>
            </w:r>
          </w:p>
        </w:tc>
      </w:tr>
    </w:tbl>
    <w:p>
      <w:r>
        <w:t>The cohort is the roster's 5 surviving, still-filing products. Funds that closed, merged, or stopped filing are not in it, so any composite carries survivorship bias in the fund's favor. Membership rationales and exclusions are in the roster record.</w:t>
      </w:r>
    </w:p>
    <w:p>
      <w:r>
        <w:t>Members span 2 wrapper types (non-traded LLC ('34 Act), tender-offer fund) and 2 leverage regimes (1940-Act asset-coverage limits, no 1940-Act leverage limits (34-Act conglomerate)). Fee bases, leverage and exit rights are not like-for-like, so the comparison is a history of similar investments, not a like-for-like index.</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2880"/>
          </w:tcPr>
          <w:p>
            <w:r>
              <w:t>Candidate</w:t>
            </w:r>
          </w:p>
        </w:tc>
        <w:tc>
          <w:tcPr>
            <w:tcW w:type="dxa" w:w="1008"/>
          </w:tcPr>
          <w:p>
            <w:r>
              <w:t>Score</w:t>
            </w:r>
          </w:p>
        </w:tc>
        <w:tc>
          <w:tcPr>
            <w:tcW w:type="dxa" w:w="5472"/>
          </w:tcPr>
          <w:p>
            <w:r>
              <w:t>Reason and criteria</w:t>
            </w:r>
          </w:p>
        </w:tc>
      </w:tr>
      <w:tr>
        <w:tc>
          <w:tcPr>
            <w:tcW w:type="dxa" w:w="2880"/>
          </w:tcPr>
          <w:p>
            <w:r>
              <w:t>Listed private equity investable proxy (PSP)</w:t>
            </w:r>
          </w:p>
        </w:tc>
        <w:tc>
          <w:tcPr>
            <w:tcW w:type="dxa" w:w="1008"/>
          </w:tcPr>
          <w:p>
            <w:r>
              <w:t>8/12</w:t>
            </w:r>
          </w:p>
        </w:tc>
        <w:tc>
          <w:tcPr>
            <w:tcW w:type="dxa" w:w="5472"/>
          </w:tcPr>
          <w:p>
            <w:r>
              <w:t>ranked below the selected candidate: 8/12 vs 9/12 for Cambridge PE benchmark Criteria: strategy_match 2/3: the public-market version of the asset class (listed private equity for evergreen private equity), risk_liquidity_match 1/3: daily-liquid market series against a semi-liquid NAV fund (quarterly dealing at NAV under 5% cap per quarter): volatility and liquidity regimes differ, the PME construct exists for exactly this comparison, provider_independence 2/2: provider unaffiliated with the fund (Invesco / Red Rocks): the registry affiliation map ties it to none of the fund's advisers, data_held 2/2: daily public market series held (exchange-traded proxy, Yahoo adjusted close), pricing_basis_match 1/2: a market-priced series standing in for an appraisal-based fund: comparable only through a PME, which is window-sensitive on appraisal-lagged NAVs.</w:t>
            </w:r>
          </w:p>
        </w:tc>
      </w:tr>
      <w:tr>
        <w:tc>
          <w:tcPr>
            <w:tcW w:type="dxa" w:w="2880"/>
          </w:tcPr>
          <w:p>
            <w:r>
              <w:t>MSCI World investable proxy (URTH)</w:t>
            </w:r>
          </w:p>
        </w:tc>
        <w:tc>
          <w:tcPr>
            <w:tcW w:type="dxa" w:w="1008"/>
          </w:tcPr>
          <w:p>
            <w:r>
              <w:t>7/12</w:t>
            </w:r>
          </w:p>
        </w:tc>
        <w:tc>
          <w:tcPr>
            <w:tcW w:type="dxa" w:w="5472"/>
          </w:tcPr>
          <w:p>
            <w:r>
              <w:t>rejected: strategy gate (score 7/12 but strategy_match 1/3) Criteria: strategy_match 1/3: adjacent asset class sharing the dominant risk (global equity for evergreen private equity), risk_liquidity_match 1/3: daily-liquid market series against a semi-liquid NAV fund (quarterly dealing at NAV under 5% cap per quarter): volatility and liquidity regimes differ, the PME construct exists for exactly this comparison, provider_independence 2/2: provider unaffiliated with the fund (iShares / MSCI): the registry affiliation map ties it to none of the fund's advisers, data_held 2/2: daily public market series held (exchange-traded proxy, Yahoo adjusted close), pricing_basis_match 1/2: a market-priced series standing in for an appraisal-based fund: comparable only through a PME, which is window-sensitive on appraisal-lagged NAVs.</w:t>
            </w:r>
          </w:p>
        </w:tc>
      </w:tr>
    </w:tbl>
    <w:p>
      <w:pPr>
        <w:pStyle w:val="Heading1"/>
      </w:pPr>
      <w:r>
        <w:t>Product-to-plan liquidity match</w:t>
      </w:r>
    </w:p>
    <w:p>
      <w:r>
        <w:t>Plan: US industrial manufacturer 401(k) plan (~$0.8B, OH). verdict is structural (typed facts, cells 3.1, 3.3, 2.7, plan-independent). scenario_verdict is ILLUSTRATIVE (the plan's filed outflow proxy as the base demand and the sliders as the stress, against the same capacity, per plan).</w:t>
      </w:r>
    </w:p>
    <w:p>
      <w:pPr>
        <w:pStyle w:val="Heading2"/>
      </w:pPr>
      <w:r>
        <w:t>Structural verdict (typed facts, plan-independent)</w:t>
      </w:r>
    </w:p>
    <w:p>
      <w:r>
        <w:t>PARTIAL</w:t>
      </w:r>
    </w:p>
    <w:p>
      <w:pPr>
        <w:pStyle w:val="ListBullet"/>
      </w:pPr>
      <w:r>
        <w:t>STRUCTURAL GAP: a participant-directed 404(c) menu assumes daily pricing and daily participant liquidity, whereas this wrapper deals quarterly with a 5% cap per quarter on outstanding shares. Direct DIA use requires a bridging structure: CIT sleeve, managed account, or TDF sleeve (cell 3.5).</w:t>
      </w:r>
    </w:p>
    <w:p>
      <w:pPr>
        <w:pStyle w:val="ListBullet"/>
      </w:pPr>
      <w:r>
        <w:t>Facts missing for a structural verdict: gate_history (no proration or oversubscription event is disclosed in the on-disk documents, but the tendered-versus-accepted amounts per offer are not printed either. Completed-tender dollars establish continuity, not full fills (R2-P1-12 rule)). The verdict stays partial until they are typed from the filings.</w:t>
      </w:r>
    </w:p>
    <w:p>
      <w:pPr>
        <w:pStyle w:val="ListBullet"/>
      </w:pPr>
      <w:r>
        <w:t>Early repurchase economics: 2%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tender-offer fund</w:t>
            </w:r>
          </w:p>
        </w:tc>
        <w:tc>
          <w:tcPr>
            <w:tcW w:type="dxa" w:w="1152"/>
          </w:tcPr>
          <w:p>
            <w:r>
              <w:t>6.1</w:t>
            </w:r>
          </w:p>
        </w:tc>
      </w:tr>
      <w:tr>
        <w:tc>
          <w:tcPr>
            <w:tcW w:type="dxa" w:w="2448"/>
          </w:tcPr>
          <w:p>
            <w:r>
              <w:t>Dealing terms</w:t>
            </w:r>
          </w:p>
        </w:tc>
        <w:tc>
          <w:tcPr>
            <w:tcW w:type="dxa" w:w="5760"/>
          </w:tcPr>
          <w:p>
            <w:r>
              <w:t>quarterly offers, 5% cap per quarter on outstanding shares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not typed: no proration or oversubscription event is disclosed in the on-disk documents, but the tendered-versus-accepted amounts per offer are not printed either. Completed-tender dollars establish continuity, not full fills (R2-P1-12 rule)</w:t>
            </w:r>
          </w:p>
        </w:tc>
        <w:tc>
          <w:tcPr>
            <w:tcW w:type="dxa" w:w="1152"/>
          </w:tcPr>
          <w:p>
            <w:r>
              <w:t>3.3</w:t>
            </w:r>
          </w:p>
        </w:tc>
      </w:tr>
      <w:tr>
        <w:tc>
          <w:tcPr>
            <w:tcW w:type="dxa" w:w="2448"/>
          </w:tcPr>
          <w:p>
            <w:r>
              <w:t>Repurchase program status</w:t>
            </w:r>
          </w:p>
        </w:tc>
        <w:tc>
          <w:tcPr>
            <w:tcW w:type="dxa" w:w="5760"/>
          </w:tcPr>
          <w:p>
            <w:r>
              <w:t>not typed: no suspension language in 3.1 or 3.3 as of 2026-03-31</w:t>
            </w:r>
          </w:p>
        </w:tc>
        <w:tc>
          <w:tcPr>
            <w:tcW w:type="dxa" w:w="1152"/>
          </w:tcPr>
          <w:p>
            <w:r>
              <w:t>3.1</w:t>
            </w:r>
          </w:p>
        </w:tc>
      </w:tr>
      <w:tr>
        <w:tc>
          <w:tcPr>
            <w:tcW w:type="dxa" w:w="2448"/>
          </w:tcPr>
          <w:p>
            <w:r>
              <w:t>Early repurchase fee</w:t>
            </w:r>
          </w:p>
        </w:tc>
        <w:tc>
          <w:tcPr>
            <w:tcW w:type="dxa" w:w="5760"/>
          </w:tcPr>
          <w:p>
            <w:r>
              <w:t>2% if held &lt; 1 year (2.7)</w:t>
            </w:r>
          </w:p>
        </w:tc>
        <w:tc>
          <w:tcPr>
            <w:tcW w:type="dxa" w:w="1152"/>
          </w:tcPr>
          <w:p>
            <w:r>
              <w:t>2.7</w:t>
            </w:r>
          </w:p>
        </w:tc>
      </w:tr>
      <w:tr>
        <w:tc>
          <w:tcPr>
            <w:tcW w:type="dxa" w:w="2448"/>
          </w:tcPr>
          <w:p>
            <w:r>
              <w:t>Fund net assets (for the dollar capacity)</w:t>
            </w:r>
          </w:p>
        </w:tc>
        <w:tc>
          <w:tcPr>
            <w:tcW w:type="dxa" w:w="5760"/>
          </w:tcPr>
          <w:p>
            <w:r>
              <w:t>not typed: aggregate net assets not yet carried into a typed cell. Verification-queue item</w:t>
            </w:r>
          </w:p>
        </w:tc>
        <w:tc>
          <w:tcPr>
            <w:tcW w:type="dxa" w:w="1152"/>
          </w:tcPr>
          <w:p>
            <w:r>
              <w:t>3.6</w:t>
            </w:r>
          </w:p>
        </w:tc>
      </w:tr>
    </w:tbl>
    <w:p>
      <w:pPr>
        <w:pStyle w:val="Heading2"/>
      </w:pPr>
      <w:r>
        <w:t>Scenario (ILLUSTRATIVE, this plan)</w:t>
      </w:r>
    </w:p>
    <w:p>
      <w:r>
        <w:t>Plan inputs (Form 5500): net assets $791.7M, liquidity tail 14.9% of accounts (1,136 separated participants with balances), filed outflow proxy 11.5% of beginning net assets per year (Schedule H totals of the plan's Form 5500 for plan year 2024-01-01 to 2024-12-31, from the plan record: total expenses less administrative expenses over beginning net assets, an upper bound on benefit payments while Schedule H line 2e is not in the record).</w:t>
      </w:r>
    </w:p>
    <w:p>
      <w:r>
        <w:t>Base demand (filed outflow proxy applied to a 5% allocation = $39.6M): $4.6M/yr = 11.5% of the position per year vs annual wrapper capacity 20%.</w:t>
      </w:r>
    </w:p>
    <w:p>
      <w:r>
        <w:t>Slider assumption (adjustable on the site, not a fact): tail turnover 20%/yr, active turnover 5%/yr, 7.2% of the position per year = $2.9M/yr, shown beside the filed rate, not blended with it.</w:t>
      </w:r>
    </w:p>
    <w:p>
      <w:r>
        <w:t>Stressed (the filed outflow proxy plus the increment the sliders add under stress (tail turnover x2, active turnover x1.5 over the slider assumption)): demand $6.6M/yr = 16.6% of the position. within wrapper capacity (16.6% vs 20%) IF offers are not prorated.</w:t>
      </w:r>
    </w:p>
    <w:p>
      <w:r>
        <w:t>Fund capacity in dollars: not computable, the fund's net assets are not typed in the record (aggregate net assets not yet carried into a typed cell. Verification-queue item), so the plan's dollar demand cannot be set against the fund's dollar capacity and the allocation slider is not shown.</w:t>
      </w:r>
    </w:p>
    <w:p>
      <w:r>
        <w:t>Scenario verdict (ILLUSTRATIVE, this plan): CONDITIONAL.</w:t>
      </w:r>
    </w:p>
    <w:p>
      <w:pPr>
        <w:pStyle w:val="ListBullet"/>
      </w:pPr>
      <w:r>
        <w:t>Capacity: 5% per quarter on outstanding shares: at most 20% of the position per year. This is a FUND-level cap shared by every holder, so the plan's position is served only while offers are not oversubscribed.</w:t>
      </w:r>
    </w:p>
    <w:p>
      <w:pPr>
        <w:pStyle w:val="ListBullet"/>
      </w:pPr>
      <w:r>
        <w:t>Filed outflow proxy (Schedule H, plan year 2024-01-01 to 2024-12-31): 11.5% of the position per year vs 20% annual wrapper capacity, the plan's total expenses less administrative expenses over beginning net assets, applied to the position. Adequate headroom at the filed rate if offers are not prorated.</w:t>
      </w:r>
    </w:p>
    <w:p>
      <w:pPr>
        <w:pStyle w:val="ListBullet"/>
      </w:pPr>
      <w:r>
        <w:t>Slider assumption (illustrative): 7.2% of the position per year vs 20% annual wrapper capacity, from tail turnover 20%/yr on the 14.9% of accounts that are separated and active turnover 5%/yr on the rest. Shown beside the filed rate, not blended with it. Within 60% of wrapper capacity at these sliders.</w:t>
      </w:r>
    </w:p>
    <w:p>
      <w:pPr>
        <w:pStyle w:val="ListBullet"/>
      </w:pPr>
      <w:r>
        <w:t>Scenario verdict (ILLUSTRATIVE, this plan): conditional. Misaligned when the filed outflow proxy exceeds the annual wrapper capacity, conditional-weak when the stressed demand exceeds it, conditional otherwise. It moves with the plan's filing and the sliders. Proration assumption: an oversubscribed offer is filled pro rata and the unfilled remainder waits for the next window.</w:t>
      </w:r>
    </w:p>
    <w:p>
      <w:pPr>
        <w:pStyle w:val="ListBullet"/>
      </w:pPr>
      <w:r>
        <w:t>Schedule H benefit-payment line 2e is not yet in the plan record. The filed outflow proxy (total expenses less administrative expenses over beginning net assets) stands in for it as the base demand, and the turnover sliders are the stress around it.</w:t>
      </w:r>
    </w:p>
    <w:p>
      <w:r>
        <w:t>Cited: cell 2.7, cell 3.1, cell 3.3, cell 3.7, plan: plan_manufacturer_union.json (Form 5500, plan year 2024-01-01 to 2024-12-31).</w:t>
      </w:r>
    </w:p>
    <w:p>
      <w:pPr>
        <w:pStyle w:val="Heading1"/>
      </w:pPr>
      <w:r>
        <w:t>Peer cohort placement</w:t>
      </w:r>
    </w:p>
    <w:p>
      <w:r>
        <w:t>Evidence depth tier: COHORT. Cohort: Evergreen private equity ('40-Act funds + '34-Act conglomerate) (n=5). Membership rationale: Evergreen PE (Pantheon) tender-offer LLC - wrapper and strategy twin of hl_paf/stepstone_spm.</w:t>
      </w:r>
    </w:p>
    <w:p>
      <w:r>
        <w:t>Cohort placement (evergreen private equity cohort): mgmt fee: 10th percentile of cohort (n=5), below the median of 1.4 | expense ratio (bases differ, see notes): 30th percentile of cohort (n=5), below the median of 3.19 | repurchase cap: 50th percentile of cohort (n=5), at the median of 5. Statistics and per-member values are in the cohort artifact, membership rationales in the typed facts.</w:t>
      </w:r>
    </w:p>
    <w:p>
      <w:r>
        <w:t>Cohort composite return: not formed, members report on different year ends (hl_paf: fiscal years to month 03, stepstone_spm: fiscal years to month 03, kkr_kpec: calendar years, ares_pmf: fiscal years to month 03, amg_pantheon: fiscal years to month 03), so no equal-weight composite return is formed. The table shows each member's own periods with n.</w:t>
      </w:r>
    </w:p>
    <w:p>
      <w:pPr>
        <w:pStyle w:val="ListBullet"/>
      </w:pPr>
      <w:r>
        <w:t>Caveat: LEVERAGE-REGIME MIX: BDC 150% coverage and non-1940-Act wrappers allow materially more leverage than 1940-Act funds. Fee bases and return volatility are not like-for-like. [typed per product: amg_pantheon: 1940-Act asset-coverage limits, ares_pmf: 1940-Act asset-coverage limits, hl_paf: 1940-Act asset-coverage limits, kkr_kpec: no 1940-Act leverage limits (34-Act conglomerate), stepstone_spm: 1940-Act asset-coverage limits]</w:t>
      </w:r>
    </w:p>
    <w:p>
      <w:pPr>
        <w:pStyle w:val="ListBullet"/>
      </w:pPr>
      <w:r>
        <w:t>Caveat: LIQUIDITY-LAW MIX: Rule 23c-3 obligations, discretionary tenders, and repurchase plans give different worst-case exit rights. Cadence numbers alone overstate comparability. [by wrapper type: amg_pantheon: board-DISCRETIONARY tender offers (nothing compels the next one), ares_pmf: board-DISCRETIONARY tender offers (nothing compels the next one), hl_paf: board-DISCRETIONARY tender offers (nothing compels the next one), kkr_kpec: board-discretionary share repurchases, stepstone_spm: board-DISCRETIONARY tender offers (nothing compels the next one)]</w:t>
      </w:r>
    </w:p>
    <w:p>
      <w:pPr>
        <w:pStyle w:val="ListBullet"/>
      </w:pPr>
      <w:r>
        <w:t>Caveat: kkr_kpec joins under the authorized fallback: its structural twins are Reg D vehicles with no public filings (data/roster_decisions.md - 'The kkr_kpec ruling'). Cross-wrapper caveats apply.</w:t>
      </w:r>
    </w:p>
    <w:p>
      <w:r>
        <w:t>Cohort exclusion log: every candidate considered and not admitted is recorded with its reason in the roster decisions record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industrial manufacturer 401(k) plan (~$0.8B, OH).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PARTIAL (typed facts, plan-independent). Scenario verdict under US industrial manufacturer 401(k) plan (~$0.8B, OH) (ILLUSTRATIVE): CONDITIONAL.</w:t>
      </w:r>
    </w:p>
    <w:p>
      <w:r>
        <w:t>Meaningful benchmark (paragraph (k)): Cambridge Associates US PE benchmark at 9/12, cited, series not in the record. Peer comparison (paragraphs (g) and (h)): composite refused, members report on different year ends and no member has a series that builds a common calendar period (Hamilton Lane Private Assets Fund fiscal years to month 03, StepStone Private Markets fiscal years to month 03, KKR Private Equity Conglomerate LLC calendar years, Ares Private Markets Fund fiscal years to month 03, AMG Pantheon Fund, LLC fiscal years to month 03). A composite needs identical start and end dates for every member.</w:t>
      </w:r>
    </w:p>
    <w:p>
      <w:r>
        <w:t>Flags raised by the record (each restates a typed value or verdict already in the artifacts, with its source):</w:t>
      </w:r>
    </w:p>
    <w:p>
      <w:pPr>
        <w:pStyle w:val="ListBullet"/>
      </w:pPr>
      <w:r>
        <w:t>Benchmark: the meaningful benchmark carries no computed comparison (cited, series not in the record: no comparison computed) (benchmark selection)</w:t>
      </w:r>
    </w:p>
    <w:p>
      <w:pPr>
        <w:pStyle w:val="ListBullet"/>
      </w:pPr>
      <w:r>
        <w:t>Peer comparison: composite refused, members report on different year ends and no member has a series that builds a common calendar period (Hamilton Lane Private Assets Fund fiscal years to month 03, StepStone Private Markets fiscal years to month 03, KKR Private Equity Conglomerate LLC calendar years, Ares Private Markets Fund fiscal years to month 03, AMG Pantheon Fund, LLC fiscal years to month 03). A composite needs identical start and end dates for every member (cell 1.12)</w:t>
      </w:r>
    </w:p>
    <w:p>
      <w:pPr>
        <w:pStyle w:val="ListBullet"/>
      </w:pPr>
      <w:r>
        <w:t>Liquidity: structural verdict partial, facts missing: gate_history (cells 3.1, 3.3)</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in this build and quoted where cited.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27, verified 0, computed 11, partial 3, fetched 1, n/a 13, pending 0. 42 of 42 resolvable, 0 verified, 13 n/a by wrapper.</w:t>
      </w:r>
    </w:p>
    <w:p>
      <w:r>
        <w:t>Of the 41 evidenced cells, 41 carry a source document, 41 a section, 30 a verbatim quote (computed cells carry their computation and inputs instead of a quote) and 41 an extractor. No cell is verified: no cell has been independently re-checked by a person, and verified_by is empty on every row. Cells marked extracted-unverified were extracted by an agent from the cited document.</w:t>
      </w:r>
    </w:p>
    <w:p>
      <w:pPr>
        <w:pStyle w:val="Heading2"/>
      </w:pPr>
      <w:r>
        <w:t>Sources cited</w:t>
      </w:r>
    </w:p>
    <w:p>
      <w:r>
        <w:t>Each evidenced cell's source document as written in the evidence ledger, with the SEC accession and EDGAR URL resolved against the filing manifest.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N-CSR FY2026 (FYE 2026-03-31, filed 2026-06-09), Financial Highlights; N-2 filed 2026-07-30 (Prospectus dated 2026-07-31), Class 4 Financial Highlights</w:t>
            </w:r>
          </w:p>
        </w:tc>
        <w:tc>
          <w:tcPr>
            <w:tcW w:type="dxa" w:w="5184"/>
          </w:tcPr>
          <w:p>
            <w:r>
              <w:t>N-CSR 2026-06-09 accession 0001193125-26-264017 https://www.sec.gov/Archives/edgar/data/1609211/000119312526264017/d138225dncsr.htm</w:t>
            </w:r>
          </w:p>
          <w:p>
            <w:r>
              <w:t>N-2 2026-07-30 accession 0000950130-26-000196 https://www.sec.gov/Archives/edgar/data/1609211/000095013026000196/d155376dn2.htm</w:t>
            </w:r>
          </w:p>
        </w:tc>
      </w:tr>
      <w:tr>
        <w:tc>
          <w:tcPr>
            <w:tcW w:type="dxa" w:w="720"/>
          </w:tcPr>
          <w:p>
            <w:r>
              <w:t>1.2</w:t>
            </w:r>
          </w:p>
        </w:tc>
        <w:tc>
          <w:tcPr>
            <w:tcW w:type="dxa" w:w="3456"/>
          </w:tcPr>
          <w:p>
            <w:r>
              <w:t>N-CSR FY2026 (FYE 2026-03-31, filed 2026-06-09)</w:t>
            </w:r>
          </w:p>
        </w:tc>
        <w:tc>
          <w:tcPr>
            <w:tcW w:type="dxa" w:w="5184"/>
          </w:tcPr>
          <w:p>
            <w:r>
              <w:t>N-CSR 2026-06-09 accession 0001193125-26-264017 https://www.sec.gov/Archives/edgar/data/1609211/000119312526264017/d138225dncsr.htm</w:t>
            </w:r>
          </w:p>
        </w:tc>
      </w:tr>
      <w:tr>
        <w:tc>
          <w:tcPr>
            <w:tcW w:type="dxa" w:w="720"/>
          </w:tcPr>
          <w:p>
            <w:r>
              <w:t>1.3</w:t>
            </w:r>
          </w:p>
        </w:tc>
        <w:tc>
          <w:tcPr>
            <w:tcW w:type="dxa" w:w="3456"/>
          </w:tcPr>
          <w:p>
            <w:r>
              <w:t>N-CSR FY2026 (FYE 2026-03-31, filed 2026-06-09)</w:t>
            </w:r>
          </w:p>
        </w:tc>
        <w:tc>
          <w:tcPr>
            <w:tcW w:type="dxa" w:w="5184"/>
          </w:tcPr>
          <w:p>
            <w:r>
              <w:t>N-CSR 2026-06-09 accession 0001193125-26-264017 https://www.sec.gov/Archives/edgar/data/1609211/000119312526264017/d138225dncsr.htm</w:t>
            </w:r>
          </w:p>
        </w:tc>
      </w:tr>
      <w:tr>
        <w:tc>
          <w:tcPr>
            <w:tcW w:type="dxa" w:w="720"/>
          </w:tcPr>
          <w:p>
            <w:r>
              <w:t>1.4</w:t>
            </w:r>
          </w:p>
        </w:tc>
        <w:tc>
          <w:tcPr>
            <w:tcW w:type="dxa" w:w="3456"/>
          </w:tcPr>
          <w:p>
            <w:r>
              <w:t>N-CSR FY2026 (FYE 2026-03-31, filed 2026-06-09); N-2 filed 2026-07-30 (Class 4 highlights, DRIP default)</w:t>
            </w:r>
          </w:p>
        </w:tc>
        <w:tc>
          <w:tcPr>
            <w:tcW w:type="dxa" w:w="5184"/>
          </w:tcPr>
          <w:p>
            <w:r>
              <w:t>N-CSR 2026-06-09 accession 0001193125-26-264017 https://www.sec.gov/Archives/edgar/data/1609211/000119312526264017/d138225dncsr.htm</w:t>
            </w:r>
          </w:p>
          <w:p>
            <w:r>
              <w:t>N-2 2026-07-30 accession 0000950130-26-000196 https://www.sec.gov/Archives/edgar/data/1609211/000095013026000196/d155376dn2.htm</w:t>
            </w:r>
          </w:p>
        </w:tc>
      </w:tr>
      <w:tr>
        <w:tc>
          <w:tcPr>
            <w:tcW w:type="dxa" w:w="720"/>
          </w:tcPr>
          <w:p>
            <w:r>
              <w:t>1.8</w:t>
            </w:r>
          </w:p>
        </w:tc>
        <w:tc>
          <w:tcPr>
            <w:tcW w:type="dxa" w:w="3456"/>
          </w:tcPr>
          <w:p>
            <w:r>
              <w:t>benchmark selection artifact (AMG Pantheon Fund, LLC)</w:t>
            </w:r>
          </w:p>
        </w:tc>
        <w:tc>
          <w:tcPr>
            <w:tcW w:type="dxa" w:w="5184"/>
          </w:tcPr>
          <w:p>
            <w:r>
              <w:t>accession not on record: no filing reference in the source field</w:t>
            </w:r>
          </w:p>
        </w:tc>
      </w:tr>
      <w:tr>
        <w:tc>
          <w:tcPr>
            <w:tcW w:type="dxa" w:w="720"/>
          </w:tcPr>
          <w:p>
            <w:r>
              <w:t>1.9</w:t>
            </w:r>
          </w:p>
        </w:tc>
        <w:tc>
          <w:tcPr>
            <w:tcW w:type="dxa" w:w="3456"/>
          </w:tcPr>
          <w:p>
            <w:r>
              <w:t>analytics supplement artifact (stress windows)</w:t>
            </w:r>
          </w:p>
        </w:tc>
        <w:tc>
          <w:tcPr>
            <w:tcW w:type="dxa" w:w="5184"/>
          </w:tcPr>
          <w:p>
            <w:r>
              <w:t>accession not on record: no filing reference in the source field</w:t>
            </w:r>
          </w:p>
        </w:tc>
      </w:tr>
      <w:tr>
        <w:tc>
          <w:tcPr>
            <w:tcW w:type="dxa" w:w="720"/>
          </w:tcPr>
          <w:p>
            <w:r>
              <w:t>1.11</w:t>
            </w:r>
          </w:p>
        </w:tc>
        <w:tc>
          <w:tcPr>
            <w:tcW w:type="dxa" w:w="3456"/>
          </w:tcPr>
          <w:p>
            <w:r>
              <w:t>N-CSR FY2026 (filed 2026-06-09) performance table; N-2 filed 2026-07-30, Portfolio Management section</w:t>
            </w:r>
          </w:p>
        </w:tc>
        <w:tc>
          <w:tcPr>
            <w:tcW w:type="dxa" w:w="5184"/>
          </w:tcPr>
          <w:p>
            <w:r>
              <w:t>N-CSR 2026-06-09 accession 0001193125-26-264017 https://www.sec.gov/Archives/edgar/data/1609211/000119312526264017/d138225dncsr.htm</w:t>
            </w:r>
          </w:p>
          <w:p>
            <w:r>
              <w:t>N-2 2026-07-30 accession 0000950130-26-000196 https://www.sec.gov/Archives/edgar/data/1609211/000095013026000196/d155376dn2.htm</w:t>
            </w:r>
          </w:p>
        </w:tc>
      </w:tr>
      <w:tr>
        <w:tc>
          <w:tcPr>
            <w:tcW w:type="dxa" w:w="720"/>
          </w:tcPr>
          <w:p>
            <w:r>
              <w:t>1.12</w:t>
            </w:r>
          </w:p>
        </w:tc>
        <w:tc>
          <w:tcPr>
            <w:tcW w:type="dxa" w:w="3456"/>
          </w:tcPr>
          <w:p>
            <w:r>
              <w:t>benchmark selection artifact (AMG Pantheon Fund, LLC)</w:t>
            </w:r>
          </w:p>
        </w:tc>
        <w:tc>
          <w:tcPr>
            <w:tcW w:type="dxa" w:w="5184"/>
          </w:tcPr>
          <w:p>
            <w:r>
              <w:t>accession not on record: no filing reference in the source field</w:t>
            </w:r>
          </w:p>
        </w:tc>
      </w:tr>
      <w:tr>
        <w:tc>
          <w:tcPr>
            <w:tcW w:type="dxa" w:w="720"/>
          </w:tcPr>
          <w:p>
            <w:r>
              <w:t>2.1</w:t>
            </w:r>
          </w:p>
        </w:tc>
        <w:tc>
          <w:tcPr>
            <w:tcW w:type="dxa" w:w="3456"/>
          </w:tcPr>
          <w:p>
            <w:r>
              <w:t>N-CSR FY2026 (filed 2026-06-09), Fund Note 2 and Master Fund Note 2; N-2 fee-table footnote (2)</w:t>
            </w:r>
          </w:p>
        </w:tc>
        <w:tc>
          <w:tcPr>
            <w:tcW w:type="dxa" w:w="5184"/>
          </w:tcPr>
          <w:p>
            <w:r>
              <w:t>N-CSR 2026-06-09 accession 0001193125-26-264017 https://www.sec.gov/Archives/edgar/data/1609211/000119312526264017/d138225dncsr.htm</w:t>
            </w:r>
          </w:p>
          <w:p>
            <w:r>
              <w:t>N-2 2026-07-30 accession 0000950130-26-000196 https://www.sec.gov/Archives/edgar/data/1609211/000095013026000196/d155376dn2.htm (matched by form only: the single such filing held)</w:t>
            </w:r>
          </w:p>
        </w:tc>
      </w:tr>
      <w:tr>
        <w:tc>
          <w:tcPr>
            <w:tcW w:type="dxa" w:w="720"/>
          </w:tcPr>
          <w:p>
            <w:r>
              <w:t>2.2</w:t>
            </w:r>
          </w:p>
        </w:tc>
        <w:tc>
          <w:tcPr>
            <w:tcW w:type="dxa" w:w="3456"/>
          </w:tcPr>
          <w:p>
            <w:r>
              <w:t>N-2 filed 2026-07-30 (Prospectus dated 2026-07-31), SUMMARY OF FUND EXPENSES + footnotes (5)/(6)</w:t>
            </w:r>
          </w:p>
        </w:tc>
        <w:tc>
          <w:tcPr>
            <w:tcW w:type="dxa" w:w="5184"/>
          </w:tcPr>
          <w:p>
            <w:r>
              <w:t>N-2 2026-07-30 accession 0000950130-26-000196 https://www.sec.gov/Archives/edgar/data/1609211/000095013026000196/d155376dn2.htm</w:t>
            </w:r>
          </w:p>
        </w:tc>
      </w:tr>
      <w:tr>
        <w:tc>
          <w:tcPr>
            <w:tcW w:type="dxa" w:w="720"/>
          </w:tcPr>
          <w:p>
            <w:r>
              <w:t>2.3</w:t>
            </w:r>
          </w:p>
        </w:tc>
        <w:tc>
          <w:tcPr>
            <w:tcW w:type="dxa" w:w="3456"/>
          </w:tcPr>
          <w:p>
            <w:r>
              <w:t>N-2 filed 2026-07-30, SUMMARY OF FUND EXPENSES; N-CSR FY2026 (filed 2026-06-09), Note 2 (Expense Cap) and Note 1c</w:t>
            </w:r>
          </w:p>
        </w:tc>
        <w:tc>
          <w:tcPr>
            <w:tcW w:type="dxa" w:w="5184"/>
          </w:tcPr>
          <w:p>
            <w:r>
              <w:t>N-2 2026-07-30 accession 0000950130-26-000196 https://www.sec.gov/Archives/edgar/data/1609211/000095013026000196/d155376dn2.htm</w:t>
            </w:r>
          </w:p>
          <w:p>
            <w:r>
              <w:t>N-CSR 2026-06-09 accession 0001193125-26-264017 https://www.sec.gov/Archives/edgar/data/1609211/000119312526264017/d138225dncsr.htm</w:t>
            </w:r>
          </w:p>
        </w:tc>
      </w:tr>
      <w:tr>
        <w:tc>
          <w:tcPr>
            <w:tcW w:type="dxa" w:w="720"/>
          </w:tcPr>
          <w:p>
            <w:r>
              <w:t>2.4</w:t>
            </w:r>
          </w:p>
        </w:tc>
        <w:tc>
          <w:tcPr>
            <w:tcW w:type="dxa" w:w="3456"/>
          </w:tcPr>
          <w:p>
            <w:r>
              <w:t>N-2 filed 2026-07-30 (Prospectus dated 2026-07-31), fee-table footnote (5) (Class 1) / (6) (Class 2-5)</w:t>
            </w:r>
          </w:p>
        </w:tc>
        <w:tc>
          <w:tcPr>
            <w:tcW w:type="dxa" w:w="5184"/>
          </w:tcPr>
          <w:p>
            <w:r>
              <w:t>N-2 2026-07-30 accession 0000950130-26-000196 https://www.sec.gov/Archives/edgar/data/1609211/000095013026000196/d155376dn2.htm</w:t>
            </w:r>
          </w:p>
        </w:tc>
      </w:tr>
      <w:tr>
        <w:tc>
          <w:tcPr>
            <w:tcW w:type="dxa" w:w="720"/>
          </w:tcPr>
          <w:p>
            <w:r>
              <w:t>2.5</w:t>
            </w:r>
          </w:p>
        </w:tc>
        <w:tc>
          <w:tcPr>
            <w:tcW w:type="dxa" w:w="3456"/>
          </w:tcPr>
          <w:p>
            <w:r>
              <w:t>N-2 filed 2026-07-30, fee-table footnote (5); N-CSR FY2026 (filed 2026-06-09), Master Fund SOI narrative</w:t>
            </w:r>
          </w:p>
        </w:tc>
        <w:tc>
          <w:tcPr>
            <w:tcW w:type="dxa" w:w="5184"/>
          </w:tcPr>
          <w:p>
            <w:r>
              <w:t>N-2 2026-07-30 accession 0000950130-26-000196 https://www.sec.gov/Archives/edgar/data/1609211/000095013026000196/d155376dn2.htm</w:t>
            </w:r>
          </w:p>
          <w:p>
            <w:r>
              <w:t>N-CSR 2026-06-09 accession 0001193125-26-264017 https://www.sec.gov/Archives/edgar/data/1609211/000119312526264017/d138225dncsr.htm</w:t>
            </w:r>
          </w:p>
        </w:tc>
      </w:tr>
      <w:tr>
        <w:tc>
          <w:tcPr>
            <w:tcW w:type="dxa" w:w="720"/>
          </w:tcPr>
          <w:p>
            <w:r>
              <w:t>2.6</w:t>
            </w:r>
          </w:p>
        </w:tc>
        <w:tc>
          <w:tcPr>
            <w:tcW w:type="dxa" w:w="3456"/>
          </w:tcPr>
          <w:p>
            <w:r>
              <w:t>N-CSR FY2026 (filed 2026-06-09), Notes 1 and 2; N-2 filed 2026-07-30, Class 2-5 fee table footnote (1)</w:t>
            </w:r>
          </w:p>
        </w:tc>
        <w:tc>
          <w:tcPr>
            <w:tcW w:type="dxa" w:w="5184"/>
          </w:tcPr>
          <w:p>
            <w:r>
              <w:t>N-CSR 2026-06-09 accession 0001193125-26-264017 https://www.sec.gov/Archives/edgar/data/1609211/000119312526264017/d138225dncsr.htm</w:t>
            </w:r>
          </w:p>
          <w:p>
            <w:r>
              <w:t>N-2 2026-07-30 accession 0000950130-26-000196 https://www.sec.gov/Archives/edgar/data/1609211/000095013026000196/d155376dn2.htm</w:t>
            </w:r>
          </w:p>
        </w:tc>
      </w:tr>
      <w:tr>
        <w:tc>
          <w:tcPr>
            <w:tcW w:type="dxa" w:w="720"/>
          </w:tcPr>
          <w:p>
            <w:r>
              <w:t>2.7</w:t>
            </w:r>
          </w:p>
        </w:tc>
        <w:tc>
          <w:tcPr>
            <w:tcW w:type="dxa" w:w="3456"/>
          </w:tcPr>
          <w:p>
            <w:r>
              <w:t>N-CSR FY2026 (filed 2026-06-09), Note 1g Capital Stock; N-2 filed 2026-07-30, fee-table footnote (1)/(2)</w:t>
            </w:r>
          </w:p>
        </w:tc>
        <w:tc>
          <w:tcPr>
            <w:tcW w:type="dxa" w:w="5184"/>
          </w:tcPr>
          <w:p>
            <w:r>
              <w:t>N-CSR 2026-06-09 accession 0001193125-26-264017 https://www.sec.gov/Archives/edgar/data/1609211/000119312526264017/d138225dncsr.htm</w:t>
            </w:r>
          </w:p>
          <w:p>
            <w:r>
              <w:t>N-2 2026-07-30 accession 0000950130-26-000196 https://www.sec.gov/Archives/edgar/data/1609211/000095013026000196/d155376dn2.htm</w:t>
            </w:r>
          </w:p>
        </w:tc>
      </w:tr>
      <w:tr>
        <w:tc>
          <w:tcPr>
            <w:tcW w:type="dxa" w:w="720"/>
          </w:tcPr>
          <w:p>
            <w:r>
              <w:t>2.9</w:t>
            </w:r>
          </w:p>
        </w:tc>
        <w:tc>
          <w:tcPr>
            <w:tcW w:type="dxa" w:w="3456"/>
          </w:tcPr>
          <w:p>
            <w:r>
              <w:t>cohort artifact (evergreen private equity cohort)</w:t>
            </w:r>
          </w:p>
        </w:tc>
        <w:tc>
          <w:tcPr>
            <w:tcW w:type="dxa" w:w="5184"/>
          </w:tcPr>
          <w:p>
            <w:r>
              <w:t>accession not on record: no filing reference in the source field</w:t>
            </w:r>
          </w:p>
        </w:tc>
      </w:tr>
      <w:tr>
        <w:tc>
          <w:tcPr>
            <w:tcW w:type="dxa" w:w="720"/>
          </w:tcPr>
          <w:p>
            <w:r>
              <w:t>3.1</w:t>
            </w:r>
          </w:p>
        </w:tc>
        <w:tc>
          <w:tcPr>
            <w:tcW w:type="dxa" w:w="3456"/>
          </w:tcPr>
          <w:p>
            <w:r>
              <w:t>N-2 filed 2026-07-30, Summary of Terms + REPURCHASES OF UNITS AND TRANSFERS; SC TO-I (filed 2026-08-03), Item 5(e)</w:t>
            </w:r>
          </w:p>
        </w:tc>
        <w:tc>
          <w:tcPr>
            <w:tcW w:type="dxa" w:w="5184"/>
          </w:tcPr>
          <w:p>
            <w:r>
              <w:t>N-2 2026-07-30 accession 0000950130-26-000196 https://www.sec.gov/Archives/edgar/data/1609211/000095013026000196/d155376dn2.htm</w:t>
            </w:r>
          </w:p>
          <w:p>
            <w:r>
              <w:t>SC TO-I 2026-08-03 accession 0001193125-26-329591 https://www.sec.gov/Archives/edgar/data/1609211/000119312526329591/d129441dsctoi.htm</w:t>
            </w:r>
          </w:p>
        </w:tc>
      </w:tr>
      <w:tr>
        <w:tc>
          <w:tcPr>
            <w:tcW w:type="dxa" w:w="720"/>
          </w:tcPr>
          <w:p>
            <w:r>
              <w:t>3.2</w:t>
            </w:r>
          </w:p>
        </w:tc>
        <w:tc>
          <w:tcPr>
            <w:tcW w:type="dxa" w:w="3456"/>
          </w:tcPr>
          <w:p>
            <w:r>
              <w:t>SC TO-I (filed 2026-08-03), Items 4-5; N-2 filed 2026-07-30, REPURCHASES OF UNITS AND TRANSFERS</w:t>
            </w:r>
          </w:p>
        </w:tc>
        <w:tc>
          <w:tcPr>
            <w:tcW w:type="dxa" w:w="5184"/>
          </w:tcPr>
          <w:p>
            <w:r>
              <w:t>SC TO-I 2026-08-03 accession 0001193125-26-329591 https://www.sec.gov/Archives/edgar/data/1609211/000119312526329591/d129441dsctoi.htm</w:t>
            </w:r>
          </w:p>
          <w:p>
            <w:r>
              <w:t>N-2 2026-07-30 accession 0000950130-26-000196 https://www.sec.gov/Archives/edgar/data/1609211/000095013026000196/d155376dn2.htm</w:t>
            </w:r>
          </w:p>
        </w:tc>
      </w:tr>
      <w:tr>
        <w:tc>
          <w:tcPr>
            <w:tcW w:type="dxa" w:w="720"/>
          </w:tcPr>
          <w:p>
            <w:r>
              <w:t>3.3</w:t>
            </w:r>
          </w:p>
        </w:tc>
        <w:tc>
          <w:tcPr>
            <w:tcW w:type="dxa" w:w="3456"/>
          </w:tcPr>
          <w:p>
            <w:r>
              <w:t>SC TO-I (filed 2026-08-03), Item 2(b); N-CSR FY2026 (filed 2026-06-09), Note 1g capital transactions + Statement of Assets and Liabilities</w:t>
            </w:r>
          </w:p>
        </w:tc>
        <w:tc>
          <w:tcPr>
            <w:tcW w:type="dxa" w:w="5184"/>
          </w:tcPr>
          <w:p>
            <w:r>
              <w:t>SC TO-I 2026-08-03 accession 0001193125-26-329591 https://www.sec.gov/Archives/edgar/data/1609211/000119312526329591/d129441dsctoi.htm</w:t>
            </w:r>
          </w:p>
          <w:p>
            <w:r>
              <w:t>N-CSR 2026-06-09 accession 0001193125-26-264017 https://www.sec.gov/Archives/edgar/data/1609211/000119312526264017/d138225dncsr.htm</w:t>
            </w:r>
          </w:p>
        </w:tc>
      </w:tr>
      <w:tr>
        <w:tc>
          <w:tcPr>
            <w:tcW w:type="dxa" w:w="720"/>
          </w:tcPr>
          <w:p>
            <w:r>
              <w:t>3.4</w:t>
            </w:r>
          </w:p>
        </w:tc>
        <w:tc>
          <w:tcPr>
            <w:tcW w:type="dxa" w:w="3456"/>
          </w:tcPr>
          <w:p>
            <w:r>
              <w:t>N-CSR FY2026 (filed 2026-06-09), Master Fund Note 3 attributes table + Consolidated SOI</w:t>
            </w:r>
          </w:p>
        </w:tc>
        <w:tc>
          <w:tcPr>
            <w:tcW w:type="dxa" w:w="5184"/>
          </w:tcPr>
          <w:p>
            <w:r>
              <w:t>N-CSR 2026-06-09 accession 0001193125-26-264017 https://www.sec.gov/Archives/edgar/data/1609211/000119312526264017/d138225dncsr.htm</w:t>
            </w:r>
          </w:p>
        </w:tc>
      </w:tr>
      <w:tr>
        <w:tc>
          <w:tcPr>
            <w:tcW w:type="dxa" w:w="720"/>
          </w:tcPr>
          <w:p>
            <w:r>
              <w:t>3.6</w:t>
            </w:r>
          </w:p>
        </w:tc>
        <w:tc>
          <w:tcPr>
            <w:tcW w:type="dxa" w:w="3456"/>
          </w:tcPr>
          <w:p>
            <w:r>
              <w:t>N-CSR FY2026 (filed 2026-06-09), Master Fund Note 8 Credit Agreement + Consolidated Statement of Operations; N-2 filed 2026-07-30 (asset coverage)</w:t>
            </w:r>
          </w:p>
        </w:tc>
        <w:tc>
          <w:tcPr>
            <w:tcW w:type="dxa" w:w="5184"/>
          </w:tcPr>
          <w:p>
            <w:r>
              <w:t>N-CSR 2026-06-09 accession 0001193125-26-264017 https://www.sec.gov/Archives/edgar/data/1609211/000119312526264017/d138225dncsr.htm</w:t>
            </w:r>
          </w:p>
          <w:p>
            <w:r>
              <w:t>N-2 2026-07-30 accession 0000950130-26-000196 https://www.sec.gov/Archives/edgar/data/1609211/000095013026000196/d155376dn2.htm</w:t>
            </w:r>
          </w:p>
        </w:tc>
      </w:tr>
      <w:tr>
        <w:tc>
          <w:tcPr>
            <w:tcW w:type="dxa" w:w="720"/>
          </w:tcPr>
          <w:p>
            <w:r>
              <w:t>3.7</w:t>
            </w:r>
          </w:p>
        </w:tc>
        <w:tc>
          <w:tcPr>
            <w:tcW w:type="dxa" w:w="3456"/>
          </w:tcPr>
          <w:p>
            <w:r>
              <w:t>plan records on file (Form 5500), read per plan by the liquidity match</w:t>
            </w:r>
          </w:p>
        </w:tc>
        <w:tc>
          <w:tcPr>
            <w:tcW w:type="dxa" w:w="5184"/>
          </w:tcPr>
          <w:p>
            <w:r>
              <w:t>accession not on record: no filing reference in the source field</w:t>
            </w:r>
          </w:p>
        </w:tc>
      </w:tr>
      <w:tr>
        <w:tc>
          <w:tcPr>
            <w:tcW w:type="dxa" w:w="720"/>
          </w:tcPr>
          <w:p>
            <w:r>
              <w:t>3.8</w:t>
            </w:r>
          </w:p>
        </w:tc>
        <w:tc>
          <w:tcPr>
            <w:tcW w:type="dxa" w:w="3456"/>
          </w:tcPr>
          <w:p>
            <w:r>
              <w:t>liquidity match artifacts (AMG Pantheon Fund, LLC, four reference plans)</w:t>
            </w:r>
          </w:p>
        </w:tc>
        <w:tc>
          <w:tcPr>
            <w:tcW w:type="dxa" w:w="5184"/>
          </w:tcPr>
          <w:p>
            <w:r>
              <w:t>accession not on record: no filing reference in the source field</w:t>
            </w:r>
          </w:p>
        </w:tc>
      </w:tr>
      <w:tr>
        <w:tc>
          <w:tcPr>
            <w:tcW w:type="dxa" w:w="720"/>
          </w:tcPr>
          <w:p>
            <w:r>
              <w:t>3.9</w:t>
            </w:r>
          </w:p>
        </w:tc>
        <w:tc>
          <w:tcPr>
            <w:tcW w:type="dxa" w:w="3456"/>
          </w:tcPr>
          <w:p>
            <w:r>
              <w:t>liquidity match artifacts (AMG Pantheon Fund, LLC, four reference plans)</w:t>
            </w:r>
          </w:p>
        </w:tc>
        <w:tc>
          <w:tcPr>
            <w:tcW w:type="dxa" w:w="5184"/>
          </w:tcPr>
          <w:p>
            <w:r>
              <w:t>accession not on record: no filing reference in the source field</w:t>
            </w:r>
          </w:p>
        </w:tc>
      </w:tr>
      <w:tr>
        <w:tc>
          <w:tcPr>
            <w:tcW w:type="dxa" w:w="720"/>
          </w:tcPr>
          <w:p>
            <w:r>
              <w:t>4.1</w:t>
            </w:r>
          </w:p>
        </w:tc>
        <w:tc>
          <w:tcPr>
            <w:tcW w:type="dxa" w:w="3456"/>
          </w:tcPr>
          <w:p>
            <w:r>
              <w:t>N-2 filed 2026-07-30, CALCULATION OF NET ASSET VALUE; N-CSR FY2026 (filed 2026-06-09), Master Fund Note 1a</w:t>
            </w:r>
          </w:p>
        </w:tc>
        <w:tc>
          <w:tcPr>
            <w:tcW w:type="dxa" w:w="5184"/>
          </w:tcPr>
          <w:p>
            <w:r>
              <w:t>N-2 2026-07-30 accession 0000950130-26-000196 https://www.sec.gov/Archives/edgar/data/1609211/000095013026000196/d155376dn2.htm</w:t>
            </w:r>
          </w:p>
          <w:p>
            <w:r>
              <w:t>N-CSR 2026-06-09 accession 0001193125-26-264017 https://www.sec.gov/Archives/edgar/data/1609211/000119312526264017/d138225dncsr.htm</w:t>
            </w:r>
          </w:p>
        </w:tc>
      </w:tr>
      <w:tr>
        <w:tc>
          <w:tcPr>
            <w:tcW w:type="dxa" w:w="720"/>
          </w:tcPr>
          <w:p>
            <w:r>
              <w:t>4.2</w:t>
            </w:r>
          </w:p>
        </w:tc>
        <w:tc>
          <w:tcPr>
            <w:tcW w:type="dxa" w:w="3456"/>
          </w:tcPr>
          <w:p>
            <w:r>
              <w:t>N-CSR FY2026 (filed 2026-06-09), Consolidated Schedule of Investments - hierarchy and L3 reconciliation tables</w:t>
            </w:r>
          </w:p>
        </w:tc>
        <w:tc>
          <w:tcPr>
            <w:tcW w:type="dxa" w:w="5184"/>
          </w:tcPr>
          <w:p>
            <w:r>
              <w:t>N-CSR 2026-06-09 accession 0001193125-26-264017 https://www.sec.gov/Archives/edgar/data/1609211/000119312526264017/d138225dncsr.htm</w:t>
            </w:r>
          </w:p>
        </w:tc>
      </w:tr>
      <w:tr>
        <w:tc>
          <w:tcPr>
            <w:tcW w:type="dxa" w:w="720"/>
          </w:tcPr>
          <w:p>
            <w:r>
              <w:t>4.3</w:t>
            </w:r>
          </w:p>
        </w:tc>
        <w:tc>
          <w:tcPr>
            <w:tcW w:type="dxa" w:w="3456"/>
          </w:tcPr>
          <w:p>
            <w:r>
              <w:t>N-CSR FY2026 (filed 2026-06-09), Master Fund Note 1a; N-2 filed 2026-07-30, Calculation of Net Asset Value</w:t>
            </w:r>
          </w:p>
        </w:tc>
        <w:tc>
          <w:tcPr>
            <w:tcW w:type="dxa" w:w="5184"/>
          </w:tcPr>
          <w:p>
            <w:r>
              <w:t>N-CSR 2026-06-09 accession 0001193125-26-264017 https://www.sec.gov/Archives/edgar/data/1609211/000119312526264017/d138225dncsr.htm</w:t>
            </w:r>
          </w:p>
          <w:p>
            <w:r>
              <w:t>N-2 2026-07-30 accession 0000950130-26-000196 https://www.sec.gov/Archives/edgar/data/1609211/000095013026000196/d155376dn2.htm</w:t>
            </w:r>
          </w:p>
        </w:tc>
      </w:tr>
      <w:tr>
        <w:tc>
          <w:tcPr>
            <w:tcW w:type="dxa" w:w="720"/>
          </w:tcPr>
          <w:p>
            <w:r>
              <w:t>4.4</w:t>
            </w:r>
          </w:p>
        </w:tc>
        <w:tc>
          <w:tcPr>
            <w:tcW w:type="dxa" w:w="3456"/>
          </w:tcPr>
          <w:p>
            <w:r>
              <w:t>N-CSR FY2026 (filed 2026-06-09), Master Fund Note 1a + Level 3 quantitative inputs table</w:t>
            </w:r>
          </w:p>
        </w:tc>
        <w:tc>
          <w:tcPr>
            <w:tcW w:type="dxa" w:w="5184"/>
          </w:tcPr>
          <w:p>
            <w:r>
              <w:t>N-CSR 2026-06-09 accession 0001193125-26-264017 https://www.sec.gov/Archives/edgar/data/1609211/000119312526264017/d138225dncsr.htm</w:t>
            </w:r>
          </w:p>
        </w:tc>
      </w:tr>
      <w:tr>
        <w:tc>
          <w:tcPr>
            <w:tcW w:type="dxa" w:w="720"/>
          </w:tcPr>
          <w:p>
            <w:r>
              <w:t>4.5</w:t>
            </w:r>
          </w:p>
        </w:tc>
        <w:tc>
          <w:tcPr>
            <w:tcW w:type="dxa" w:w="3456"/>
          </w:tcPr>
          <w:p>
            <w:r>
              <w:t>N-CSR FY2026 (filed 2026-06-09), Report of Independent Registered Public Accounting Firm</w:t>
            </w:r>
          </w:p>
        </w:tc>
        <w:tc>
          <w:tcPr>
            <w:tcW w:type="dxa" w:w="5184"/>
          </w:tcPr>
          <w:p>
            <w:r>
              <w:t>N-CSR 2026-06-09 accession 0001193125-26-264017 https://www.sec.gov/Archives/edgar/data/1609211/000119312526264017/d138225dncsr.htm</w:t>
            </w:r>
          </w:p>
        </w:tc>
      </w:tr>
      <w:tr>
        <w:tc>
          <w:tcPr>
            <w:tcW w:type="dxa" w:w="720"/>
          </w:tcPr>
          <w:p>
            <w:r>
              <w:t>4.6</w:t>
            </w:r>
          </w:p>
        </w:tc>
        <w:tc>
          <w:tcPr>
            <w:tcW w:type="dxa" w:w="3456"/>
          </w:tcPr>
          <w:p>
            <w:r>
              <w:t>All four on-disk filings (searched 2026-08-15)</w:t>
            </w:r>
          </w:p>
        </w:tc>
        <w:tc>
          <w:tcPr>
            <w:tcW w:type="dxa" w:w="5184"/>
          </w:tcPr>
          <w:p>
            <w:r>
              <w:t>*, cited as all filings held for the product, 4 held:</w:t>
            </w:r>
          </w:p>
          <w:p>
            <w:r>
              <w:t>2025-08-01 accession 0001193125-25-170996 https://www.sec.gov/Archives/edgar/data/1609211/000119312525170996/d36907d424b3.htm</w:t>
            </w:r>
          </w:p>
          <w:p>
            <w:r>
              <w:t>2026-06-09 accession 0001193125-26-264017 https://www.sec.gov/Archives/edgar/data/1609211/000119312526264017/d138225dncsr.htm</w:t>
            </w:r>
          </w:p>
          <w:p>
            <w:r>
              <w:t>2026-07-30 accession 0000950130-26-000196 https://www.sec.gov/Archives/edgar/data/1609211/000095013026000196/d155376dn2.htm</w:t>
            </w:r>
          </w:p>
          <w:p>
            <w:r>
              <w:t>2026-08-03 accession 0001193125-26-329591 https://www.sec.gov/Archives/edgar/data/1609211/000119312526329591/d129441dsctoi.htm</w:t>
            </w:r>
          </w:p>
        </w:tc>
      </w:tr>
      <w:tr>
        <w:tc>
          <w:tcPr>
            <w:tcW w:type="dxa" w:w="720"/>
          </w:tcPr>
          <w:p>
            <w:r>
              <w:t>5.1</w:t>
            </w:r>
          </w:p>
        </w:tc>
        <w:tc>
          <w:tcPr>
            <w:tcW w:type="dxa" w:w="3456"/>
          </w:tcPr>
          <w:p>
            <w:r>
              <w:t>N-CSR FY2026 (filed 2026-06-09), Portfolio Manager's Comments</w:t>
            </w:r>
          </w:p>
        </w:tc>
        <w:tc>
          <w:tcPr>
            <w:tcW w:type="dxa" w:w="5184"/>
          </w:tcPr>
          <w:p>
            <w:r>
              <w:t>N-CSR 2026-06-09 accession 0001193125-26-264017 https://www.sec.gov/Archives/edgar/data/1609211/000119312526264017/d138225dncsr.htm</w:t>
            </w:r>
          </w:p>
        </w:tc>
      </w:tr>
      <w:tr>
        <w:tc>
          <w:tcPr>
            <w:tcW w:type="dxa" w:w="720"/>
          </w:tcPr>
          <w:p>
            <w:r>
              <w:t>5.3</w:t>
            </w:r>
          </w:p>
        </w:tc>
        <w:tc>
          <w:tcPr>
            <w:tcW w:type="dxa" w:w="3456"/>
          </w:tcPr>
          <w:p>
            <w:r>
              <w:t>benchmark selection artifact (AMG Pantheon Fund, LLC)</w:t>
            </w:r>
          </w:p>
        </w:tc>
        <w:tc>
          <w:tcPr>
            <w:tcW w:type="dxa" w:w="5184"/>
          </w:tcPr>
          <w:p>
            <w:r>
              <w:t>accession not on record: no filing reference in the source field</w:t>
            </w:r>
          </w:p>
        </w:tc>
      </w:tr>
      <w:tr>
        <w:tc>
          <w:tcPr>
            <w:tcW w:type="dxa" w:w="720"/>
          </w:tcPr>
          <w:p>
            <w:r>
              <w:t>5.4</w:t>
            </w:r>
          </w:p>
        </w:tc>
        <w:tc>
          <w:tcPr>
            <w:tcW w:type="dxa" w:w="3456"/>
          </w:tcPr>
          <w:p>
            <w:r>
              <w:t>cohort artifact (evergreen private equity cohort)</w:t>
            </w:r>
          </w:p>
        </w:tc>
        <w:tc>
          <w:tcPr>
            <w:tcW w:type="dxa" w:w="5184"/>
          </w:tcPr>
          <w:p>
            <w:r>
              <w:t>accession not on record: no filing reference in the source field</w:t>
            </w:r>
          </w:p>
        </w:tc>
      </w:tr>
      <w:tr>
        <w:tc>
          <w:tcPr>
            <w:tcW w:type="dxa" w:w="720"/>
          </w:tcPr>
          <w:p>
            <w:r>
              <w:t>5.5</w:t>
            </w:r>
          </w:p>
        </w:tc>
        <w:tc>
          <w:tcPr>
            <w:tcW w:type="dxa" w:w="3456"/>
          </w:tcPr>
          <w:p>
            <w:r>
              <w:t>benchmark selection artifact (AMG Pantheon Fund, LLC)</w:t>
            </w:r>
          </w:p>
        </w:tc>
        <w:tc>
          <w:tcPr>
            <w:tcW w:type="dxa" w:w="5184"/>
          </w:tcPr>
          <w:p>
            <w:r>
              <w:t>accession not on record: no filing reference in the source field</w:t>
            </w:r>
          </w:p>
        </w:tc>
      </w:tr>
      <w:tr>
        <w:tc>
          <w:tcPr>
            <w:tcW w:type="dxa" w:w="720"/>
          </w:tcPr>
          <w:p>
            <w:r>
              <w:t>5.6</w:t>
            </w:r>
          </w:p>
        </w:tc>
        <w:tc>
          <w:tcPr>
            <w:tcW w:type="dxa" w:w="3456"/>
          </w:tcPr>
          <w:p>
            <w:r>
              <w:t>benchmark selection artifact (AMG Pantheon Fund, LLC)</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SC TO-I (filed 2026-08-03), Item 2; N-CSR FY2026 (filed 2026-06-09), Note 1 and Master Note 1</w:t>
            </w:r>
          </w:p>
        </w:tc>
        <w:tc>
          <w:tcPr>
            <w:tcW w:type="dxa" w:w="5184"/>
          </w:tcPr>
          <w:p>
            <w:r>
              <w:t>SC TO-I 2026-08-03 accession 0001193125-26-329591 https://www.sec.gov/Archives/edgar/data/1609211/000119312526329591/d129441dsctoi.htm</w:t>
            </w:r>
          </w:p>
          <w:p>
            <w:r>
              <w:t>N-CSR 2026-06-09 accession 0001193125-26-264017 https://www.sec.gov/Archives/edgar/data/1609211/000119312526264017/d138225dncsr.htm</w:t>
            </w:r>
          </w:p>
        </w:tc>
      </w:tr>
      <w:tr>
        <w:tc>
          <w:tcPr>
            <w:tcW w:type="dxa" w:w="720"/>
          </w:tcPr>
          <w:p>
            <w:r>
              <w:t>6.2</w:t>
            </w:r>
          </w:p>
        </w:tc>
        <w:tc>
          <w:tcPr>
            <w:tcW w:type="dxa" w:w="3456"/>
          </w:tcPr>
          <w:p>
            <w:r>
              <w:t>N-2 filed 2026-07-30, INVESTMENT PROGRAM - Investment Strategies; N-CSR FY2026 (filed 2026-06-09), Consolidated SOI + attributes table</w:t>
            </w:r>
          </w:p>
        </w:tc>
        <w:tc>
          <w:tcPr>
            <w:tcW w:type="dxa" w:w="5184"/>
          </w:tcPr>
          <w:p>
            <w:r>
              <w:t>N-2 2026-07-30 accession 0000950130-26-000196 https://www.sec.gov/Archives/edgar/data/1609211/000095013026000196/d155376dn2.htm</w:t>
            </w:r>
          </w:p>
          <w:p>
            <w:r>
              <w:t>N-CSR 2026-06-09 accession 0001193125-26-264017 https://www.sec.gov/Archives/edgar/data/1609211/000119312526264017/d138225dncsr.htm</w:t>
            </w:r>
          </w:p>
        </w:tc>
      </w:tr>
      <w:tr>
        <w:tc>
          <w:tcPr>
            <w:tcW w:type="dxa" w:w="720"/>
          </w:tcPr>
          <w:p>
            <w:r>
              <w:t>6.3</w:t>
            </w:r>
          </w:p>
        </w:tc>
        <w:tc>
          <w:tcPr>
            <w:tcW w:type="dxa" w:w="3456"/>
          </w:tcPr>
          <w:p>
            <w:r>
              <w:t>N-2 filed 2026-07-30, CONFLICTS OF INTEREST + Affiliated Transactions; N-CSR FY2026 (filed 2026-06-09), Note 2</w:t>
            </w:r>
          </w:p>
        </w:tc>
        <w:tc>
          <w:tcPr>
            <w:tcW w:type="dxa" w:w="5184"/>
          </w:tcPr>
          <w:p>
            <w:r>
              <w:t>N-2 2026-07-30 accession 0000950130-26-000196 https://www.sec.gov/Archives/edgar/data/1609211/000095013026000196/d155376dn2.htm</w:t>
            </w:r>
          </w:p>
          <w:p>
            <w:r>
              <w:t>N-CSR 2026-06-09 accession 0001193125-26-264017 https://www.sec.gov/Archives/edgar/data/1609211/000119312526264017/d138225dncsr.htm</w:t>
            </w:r>
          </w:p>
        </w:tc>
      </w:tr>
      <w:tr>
        <w:tc>
          <w:tcPr>
            <w:tcW w:type="dxa" w:w="720"/>
          </w:tcPr>
          <w:p>
            <w:r>
              <w:t>6.4</w:t>
            </w:r>
          </w:p>
        </w:tc>
        <w:tc>
          <w:tcPr>
            <w:tcW w:type="dxa" w:w="3456"/>
          </w:tcPr>
          <w:p>
            <w:r>
              <w:t>N-CSR FY2026 (filed 2026-06-09), Other Tax Information (unaudited) + Note 1e Federal Taxes</w:t>
            </w:r>
          </w:p>
        </w:tc>
        <w:tc>
          <w:tcPr>
            <w:tcW w:type="dxa" w:w="5184"/>
          </w:tcPr>
          <w:p>
            <w:r>
              <w:t>N-CSR 2026-06-09 accession 0001193125-26-264017 https://www.sec.gov/Archives/edgar/data/1609211/000119312526264017/d138225dncsr.htm</w:t>
            </w:r>
          </w:p>
        </w:tc>
      </w:tr>
      <w:tr>
        <w:tc>
          <w:tcPr>
            <w:tcW w:type="dxa" w:w="720"/>
          </w:tcPr>
          <w:p>
            <w:r>
              <w:t>6.5</w:t>
            </w:r>
          </w:p>
        </w:tc>
        <w:tc>
          <w:tcPr>
            <w:tcW w:type="dxa" w:w="3456"/>
          </w:tcPr>
          <w:p>
            <w:r>
              <w:t>N-2 filed 2026-07-30 (Transfer Agent, sub-administrator); N-CSR FY2026 (filed 2026-06-09), Notes 1h/2 + Directors and Officers; SC TO-I (filed 2026-08-03)</w:t>
            </w:r>
          </w:p>
        </w:tc>
        <w:tc>
          <w:tcPr>
            <w:tcW w:type="dxa" w:w="5184"/>
          </w:tcPr>
          <w:p>
            <w:r>
              <w:t>N-2 2026-07-30 accession 0000950130-26-000196 https://www.sec.gov/Archives/edgar/data/1609211/000095013026000196/d155376dn2.htm</w:t>
            </w:r>
          </w:p>
          <w:p>
            <w:r>
              <w:t>N-CSR 2026-06-09 accession 0001193125-26-264017 https://www.sec.gov/Archives/edgar/data/1609211/000119312526264017/d138225dncsr.htm</w:t>
            </w:r>
          </w:p>
          <w:p>
            <w:r>
              <w:t>SC TO-I 2026-08-03 accession 0001193125-26-329591 https://www.sec.gov/Archives/edgar/data/1609211/000119312526329591/d129441dsctoi.htm</w:t>
            </w:r>
          </w:p>
        </w:tc>
      </w:tr>
    </w:tbl>
    <w:p>
      <w:r>
        <w:t>Data sources: SEC EDGAR filings (4 held for this product in the filing manifest, every row with its accession) and DOL EBSA Form 5500 data for the plan, shown under its anonymized label.</w:t>
      </w:r>
    </w:p>
    <w:p>
      <w:pPr>
        <w:pStyle w:val="Heading1"/>
      </w:pPr>
      <w:r>
        <w:t>Appendix: verbatim regulatory text</w:t>
      </w:r>
    </w:p>
    <w:p>
      <w:r>
        <w:t>verbatim Federal Register text is in this build. Federal Register document 2026-06178, fetched 2026-09-07T06:19:25+00:00, content hash aef7a94680824e5574780e1f614702189d9dafcf1fde58558ff3ac782d3dcd5a. Runs of whitespace inside a paragraph are collapsed to one space. Every paragraph below is the Federal Register text unchanged.</w:t>
      </w:r>
    </w:p>
    <w:p>
      <w:pPr>
        <w:pStyle w:val="Heading2"/>
      </w:pPr>
      <w:r>
        <w:t>Paragraph (g)</w:t>
      </w:r>
    </w:p>
    <w:p>
      <w:r>
        <w:t>(g) Performance. The plan fiduciary must appropriately consider a reasonable number of similar alternatives and determine that the risk-adjusted expected returns, over an appropriate time-horizon, of the designated investment alternative, net of anticipated fees and expenses, further the purposes of the plan by enabling participants and beneficiaries to maximize risk-adjusted returns on investment net of fees and expenses.</w:t>
      </w:r>
    </w:p>
    <w:p>
      <w:r>
        <w:t>(1) Example. Return— (i) Facts. The named fiduciary of a plan ( e.g., the plan sponsor or plan investment committee), working with a third-party investment advice fiduciary within the meaning of section 3(21)(A)(ii) of ERISA, considers three target date fund series. The investment advice fiduciary presents various risk measures for the named fiduciary to consider, including the Sharpe Ratio, a commonly used measure to assess risk-adjusted performance, and a risk-adjusted return measure that subtracts a risk penalty from returns. The investment advice fiduciary explains these concepts and their implications to the named fiduciary that then relies on this advice to select a target date fund series that has lower expected returns but lower expected risk, as measured by volatility. The named fiduciary makes this selection after considering the risk capacity of the plan's participants. The lower risk strategy that the named fiduciary selects has achieved higher risk-adjusted returns by including alternative assets with low correlations to stocks and bonds in its investment portfolio, thereby reducing the volatility of returns.</w:t>
      </w:r>
    </w:p>
    <w:p>
      <w:r>
        <w:t>(ii) Analysis. Plan fiduciaries, with the benefit of third-party investment advice when appropriate, need not select an investment with the highest returns, nor aim to achieve the highest possible returns. It is often prudent to select a lower-risk investment strategy with a lower expected return. Plan fiduciaries may wish to consider selecting investments that hold alternative assets with low correlations to stock and bonds in their portfolios for exactly this purpose of improving risk-adjusted returns.</w:t>
      </w:r>
    </w:p>
    <w:p>
      <w:r>
        <w:t>(iii) Conclusion. A plan fiduciary selecting a designated investment alternative should consider various risk metrics when evaluating investments. The plan fiduciary should seek to maximize returns, net of fees, for a given level of appropriate risk, consistent with the participants' likely needs over the course of the anticipated investment. By doing so, including by engaging and relying on third-party investment advice, as appropriate, to analyze and explain how to evaluate risk, the plan fiduciary shall be deemed to have satisfied the requirements of paragraph (g) of this section.</w:t>
      </w:r>
    </w:p>
    <w:p>
      <w:r>
        <w:t>(2) Example. Time horizon —(i) Facts. The named fiduciary of a plan ( e.g., the plan sponsor or plan investment committee) with a predominantly younger workforce, working with a third-party investment advice fiduciary within the meaning of section 3(21)(A)(ii) of ERISA, considers three target date fund series. The investment advice fiduciary analyzes the historical performance of each series over the past 1-, 3-, 5-, and 10-year periods. After considering the historical performance data for these periods, the named fiduciary adopts the investment advice fiduciary's recommendation to rely most heavily on the 10-year historical performance data as most probative for purposes of selecting the designated investment alternative.</w:t>
      </w:r>
    </w:p>
    <w:p>
      <w:r>
        <w:t>(ii) Analysis. A plan fiduciary, with the benefit of third-party investment advice fiduciaries, when appropriate, need not select an investment strategy with the highest returns during a short or most recent period of time. Given the long-term nature of retirement savings, it is often prudent to give greater weight to the long-term historical performance of possible designed investment alternatives over short-term performance.</w:t>
      </w:r>
    </w:p>
    <w:p>
      <w:r>
        <w:t>(iii) Conclusion. A plan fiduciary selecting a designated investment alternative should consider the appropriate time horizons for retirement savings. In so doing, the plan fiduciary should seek to maximize returns for a given level of appropriate risk, consistent with the participants' likely needs over the course of the anticipated investment, which, because of the long-term nature of retirement savings, may be a long time horizon, depending on the particular facts and circumstances. By doing so, including by engaging and relying on third-party investment advice, when appropriate, to analyze and explain how to evaluate past performance, the plan fiduciary shall be deemed to have satisfied the requirements of paragraph (g) of this section.</w:t>
      </w:r>
    </w:p>
    <w:p>
      <w:pPr>
        <w:pStyle w:val="Heading2"/>
      </w:pPr>
      <w:r>
        <w:t>Paragraph (h)</w:t>
      </w:r>
    </w:p>
    <w:p>
      <w:r>
        <w:t>(h) Fees. The plan fiduciary must consider a reasonable number of similar alternatives and determine that the fees and expenses of the designated investment alternative are appropriate, taking into account its risk-adjusted expected returns and any other value the designated investment alternative brings to furthering the purposes of the plan. For this purpose, the term “value” includes any benefits, features, or services other than risk-adjusted returns. Section 404(a)(1)(B) of ERISA and paragraph (h) of this section are not violated solely because the fiduciary does not select the alternative with the lowest fees and expenses from among the alternatives considered. For example, a prudent plan fiduciary could choose to pay more in exchange for greater services.</w:t>
      </w:r>
    </w:p>
    <w:p>
      <w:r>
        <w:t>(1) Example. Fees; Customer service —(i) Facts. The named fiduciary of a plan ( e.g., the plan sponsor or plan investment committee) considers five stock funds that follow similar strategies in passively tracking the same index. The named fiduciary evaluates the funds with the assistance of a third-party investment advice fiduciary within the meaning of section 3(21)(A)(ii) of ERISA and finds that the five funds have had similar historical risk-adjusted returns and liquidity, and that the funds have very different ratings for customer service and communication. The named fiduciary selects the fund with the highest fees and highest rating for customer service and communication. This fund offers knowledgeably staffed call centers dedicated to retirement plan investors, short wait times, clearly written investor communications, safe and easy online access for participants, and published surveys and ratings that demonstrate an exceptional commitment to customer service. The difference between the funds with lowest and highest fees is one quarter of one basis point.</w:t>
      </w:r>
    </w:p>
    <w:p>
      <w:r>
        <w:t>(ii) Analysis. A plan fiduciary must consider a reasonable number of similar alternatives before selecting a designated investment alternative. Although the determination of what constitutes a reasonable number is dependent upon the specific facts and circumstances of each case, section 404(a)(1)(B) of ERISA and paragraph (h) of this section do not require a plan fiduciary to consider every similar alternative available in the market. Likewise, whether alternatives are similar is dependent on the specific facts and circumstances of each case. After considering a reasonable number of similar alternatives, a plan fiduciary must determine that the fees and expenses of the designated investment alternative are appropriate, taking into account its expected risk-adjusted returns and the value the designated investment alternative brings in furthering the purposes of the plan. All else being equal, a plan fiduciary must rely on the value proposition of a designated investment alternative with higher fees and expenses than similar alternatives with lower fees and expenses when choosing that designated investment alternative.</w:t>
      </w:r>
    </w:p>
    <w:p>
      <w:r>
        <w:t>(iii) Conclusion. The named fiduciary in this example does not fail to satisfy section 404(a)(1)(B) of ERISA and paragraph (h) of this section solely because it did not select the alternative with the lowest fees and expenses. The named fiduciary enlisted the services of an investment advice fiduciary within the meaning of section 3(21)(A)(ii) of ERISA. The named fiduciary considered and determined that the five specific alternatives were a reasonable number of alternatives to have considered, taking into account the role of the designated investment alternative in furthering the purposes of the plan, their similar strategies, historical performance, and liquidity. In addition, the named fiduciary considered and determined that the higher fees and expenses are appropriate considering the value of increased customer service and communication.</w:t>
      </w:r>
    </w:p>
    <w:p>
      <w:r>
        <w:t>(2) Example. Fees; Share classes —(i) Facts. A plan sponsor decides to establish a participant-directed defined contribution plan. The plan document specifies that the director of human resources is the named fiduciary of the plan and responsible for the establishment of the plan investment menu and selection and monitoring of designated investment alternatives. The named fiduciary does not enlist the services of an investment advice fiduciary within the meaning of section 3(21)(A)(ii) of ERISA, an investment manager within the meaning of section 3(38) of ERISA, or any other type of professional consultant. The named fiduciary purchases a subscription to an independent analysis ratings firm to research investment options before making a selection. The service rates funds overall but does not attach ratings to different share classes of the same fund. After a few years, the named fiduciary decides to replace one of the plan's designated investment alternatives with a new fund, and to move participant investments from the old designated investment alternative to the new fund pursuant to ERISA section 404(c)(4). The new fund selected by the named fiduciary has high ratings from the service to which the named fiduciary subscribes and is a registered investment company within the meaning of the Investment Company Act of 1940. The named fiduciary makes a substantial investment in class R2 shares of the fund. The named fiduciary does not consider any differences in share classes offered by this fund. The fund offers multiple share classes, including multiple R share classes. Class R2 shares have substantially higher fees than class R6 shares. Based on the amount of the investment, the named fiduciary could have purchased class R6 shares without any negotiation or additional expenditure of plan assets or resources. Except for fee structures, both share classes are identical in terms of shareholder rights and obligations.</w:t>
      </w:r>
    </w:p>
    <w:p>
      <w:r>
        <w:t>(ii) Analysis. A fiduciary must consider a reasonable number of similar alternatives and determine that the fees and expenses of the designated investment alternative are appropriate, taking into account the designated investment alternative's risk-adjusted expected returns and any other value the designated investment alternative brings to furthering the purposes of the plan. The named fiduciary failed to give any consideration to the differences in fees between the various share classes of the fund, even though the size of the investment met the fund's criteria for the lower fee share classes without any negotiation or additional expenditure of plan assets or resources. Class R6 shares have a superior value proposition to class R2 shares because both share classes are identical in all respects except that class R6 shares have lower fees.</w:t>
      </w:r>
    </w:p>
    <w:p>
      <w:r>
        <w:t>(iii) Conclusion. The facts in this example do not establish that the named fiduciary satisfied section 404(a)(1)(B) of ERISA and paragraph (h) of this section when selecting the designated investment alternative. The selection process appears to be flawed because the named fiduciary failed to consider the difference in fee structures among the various share classes. A prudent selection process would ordinarily uncover the existence of more economical share class options for the plan.</w:t>
      </w:r>
    </w:p>
    <w:p>
      <w:r>
        <w:t>(3) Example. Fees; Lifetime income —(i) Facts. A plan sponsor makes a plan design decision to add a lifetime income benefit to its existing participant-directed individual account plan. The named fiduciary of the plan selects an asset allocation fund offered through a variable annuity contract to implement the plan sponsor's decision. The new designated investment alternative is similar in all material respects—risk, return, liquidity, and allocation profile—to another designated investment alternative already on the plan investment menu except that the designated investment alternative already on the plan investment menu does not offer lifetime income through a variable annuity contract. The two designated investment alternatives have the same expense ratio, but the designated investment alternative offered through the variable annuity contract has an additional fee associated with the ability of participants to select the lifetime income feature. The additional fee typically secures more favorable annuity conversion rates throughout the life of the contract than would be available outside of the contract. The named fiduciary consults with an investment advice fiduciary within the meaning of section 3(21)(A)(ii) of ERISA. The investment advice fiduciary analyzes the annuity market generally, as well as the break-even ages and additional fee of the designated investment alternative, which analysis the named fiduciary critically evaluates and adopts in determining, within its discretion, that the designated investment alternative with the lifetime income benefit provides commensurate value for the fees charged.</w:t>
      </w:r>
    </w:p>
    <w:p>
      <w:r>
        <w:t>(ii) Analysis. The named fiduciary must act prudently when implementing the plan sponsor's decision to add a lifetime income benefit to the plan. Although the named fiduciary must appropriately consider a reasonable number of similar alternatives, the designated investment alternative already on the plan investment menu satisfies this standard because it is both sufficiently different from the designated investment alternative being added to the plan investment menu due to its lifetime income benefit feature and sufficiently comparable because it is identical in each other material respect. The lifetime income feature has added value to the plan and therefore justifies higher total fees than the designated investment alternative without this feature.</w:t>
      </w:r>
    </w:p>
    <w:p>
      <w:r>
        <w:t>(iii) Conclusion. The named fiduciary in this example did not act imprudently by adding the new designated investment alternative to the plan investment menu solely because it has higher fees than the similar designated investment alternative without the lifetime income benefit feature that is already on the plan investment menu. To satisfy the consideration and determination requirements under paragraph (h) of this section, and section 404(a)(1)(B) of ERISA, the named fiduciary considered and determined that the additional fee under the variable annuity contract is appropriate in relation to the value it brings to furthering the purposes of the plan.</w:t>
      </w:r>
    </w:p>
    <w:p>
      <w:r>
        <w:t>(4) Example. Fees; Risk mitigation strategies —(i) Facts. A participant-directed defined contribution plan contains a custom-designed designated investment alternative that is a qualified default investment alternative (target date fund), managed by an investment manager within the meaning of ERISA section 3(38), with a strategy that targets specific percentages of stocks and bonds that trade on public exchanges. As part of a review of the plan's investment menu, the named fiduciary with responsibility for selecting the qualified default investment alternative considers the investment manager's proposed modification of the designated investment alternative's strategy to target investment in specific percentages of hedge funds and private equity funds while reducing target percentages of publicly traded stocks and bonds. The purpose of the modification is risk mitigation—meaning, to decrease volatility and reduce the risk of large losses during a market downturn. Under certain market conditions, a potential consequence is the designated investment alternative may underperform as compared to the continued use of the unmodified strategy, but it provides downside protection as an additional value. The named fiduciary enlists the services of a third-party investment advice fiduciary within the meaning of section 3(21)(A)(ii) of ERISA to analyze the new target percentages and the hedge fund and private equity funds for investment by the designated investment alternative, as well as detailed information about the investment strategies and fee structures of these funds. The third-party investment advice fiduciary also provides the named fiduciary with a written report stochastically modeling estimated risk-adjusted returns stemming from the adoption of the modifications and comparing the target date fund, as modified, to a reasonable number of similar alternatives. Although the designated investment alternative's expense ratio would increase slightly, the report shows an improvement in the risk-adjusted expected returns, net of fees, over a horizon determined to be appropriate for the target date fund.</w:t>
      </w:r>
    </w:p>
    <w:p>
      <w:r>
        <w:t>(ii) Analysis. In this example, the named fiduciary is not making an original selection of a designated investment alternative. Yet because the change in strategy proposed by the investment manager implicates the principal objectives of the target date fund, implementing the described modification is tantamount to selecting a designated investment alternative from scratch. Consequently, the named fiduciary must consider a reasonable number of similar alternatives to the target date fund, as modified, and determine that its fees and expenses are appropriate, taking into account its risk-adjusted expected returns and any other value it brings to furthering the purposes of the plan. That the target date fund is customized does not negate the requirement to appropriately consider a reasonable number of similar alternatives. Whether the alternatives considered are similar depends on the facts and circumstances of the case. Factors commonly used by investment professionals in like circumstances include risk, return, liquidity, and allocation profile.</w:t>
      </w:r>
    </w:p>
    <w:p>
      <w:r>
        <w:t>(iii) Conclusion. The named fiduciary in this example satisfies the consideration and determination requirements of paragraph (h) of this section, and section 404(a)(1)(B) of ERISA, with respect to the fees and expenses of the target date fund as modified. The named fiduciary enlisted the services of an investment advice fiduciary. The investment advice fiduciary provided the named fiduciary with a written report stochastically modeling estimated risk-adjusted returns stemming from the adoption of the modifications and comparing the target date fund, as modified, to a reasonable number of similar alternatives. The named fiduciary considered and determined within its discretion that the modification to the target date fund to include the risk mitigation strategy furthered the purposes of the plan, including decreasing volatility and reducing the risk of large losses during a market downturn. In addition, the named fiduciary considered and determined, within its discretion, that the higher expense ratio associated with the modification was appropriate in light of the estimated higher risk-adjusted expected returns, net of fees and expenses, over an appropriate horizon for the target date fund.</w:t>
      </w:r>
    </w:p>
    <w:p>
      <w:r>
        <w:t>(5) Example. Fees; Active management —(i) Facts. The named fiduciary of a plan ( e.g., the plan sponsor or plan investment committee) considers six small-cap stock funds. Three of the funds passively track the same index while three of the funds are actively managed, attempting to outperform the passive index. The passive funds are all comparably priced to each other, and the actively managed funds are comparably priced to each other. However, the actively managed funds all have higher fees and expenses than the passive funds. The named fiduciary evaluates the funds with the assistance of a third-party investment advice fiduciary within the meaning of section 3(21)(A)(ii) of ERISA and finds that one of the passive funds has had lower tracking error and fees compared to the other two passive funds and one of the actively managed funds has had outstanding historical risk-adjusted returns compared to all of the passive funds as well as the other two actively managed funds, despite the other two actively managed funds having adopted a similar investment strategy. The named fiduciary selects both the highest performing actively managed fund as well as the passive fund with lowest tracking error and fees based on advice from the third-party investment advice fiduciary that allowing participants to gain exposure to actively managed and passive funds will increase their risk-adjusted return on investment net of the additional fees charged by the actively managed fund.</w:t>
      </w:r>
    </w:p>
    <w:p>
      <w:r>
        <w:t>(ii) Analysis. The named fiduciary must consider a reasonable number of similar alternatives to the funds it selects, and determine that their fees and expenses are appropriate, taking into account their risk-adjusted expected returns and any other value they bring to furthering the purposes of the plan. A plan fiduciary may choose to offer both an actively managed and a passive fund within a particular strategy to secure diversification benefits for participants across the plan investment menu. In so doing, the plan fiduciary may conclude that the value of these diversification benefits justifies the selection of an actively managed fund that charges higher fees than a passive counterpart.</w:t>
      </w:r>
    </w:p>
    <w:p>
      <w:r>
        <w:t>(iii) Conclusion. The named fiduciary in this example satisfies the consideration and determination requirements of paragraph (h) of this section, and section 404(a)(1)(B) of ERISA, with respect to the fees and expenses of both funds. The named fiduciary enlisted the services of an investment advice fiduciary. The investment advice fiduciary fully compared and analyzed the profiles of the actively managed and passive funds. The investment advice fiduciary also provided the named fiduciary with professional advice about the benefits of diversified portfolios. The named fiduciary considered and determined, within its discretion, that selecting the highest performing actively managed and passive funds furthered the purposes of the plan by increasing risk-adjusted return through the increased value of additional diversification.</w:t>
      </w:r>
    </w:p>
    <w:p>
      <w:pPr>
        <w:pStyle w:val="Heading2"/>
      </w:pPr>
      <w:r>
        <w:t>Paragraph (i)</w:t>
      </w:r>
    </w:p>
    <w:p>
      <w:r>
        <w:t>(i) Liquidity. The fiduciary must appropriately consider and determine that the designated investment alternative will have sufficient liquidity to meet the anticipated needs of the plan at both the plan and individual levels. For example, because participant-directed individual account plans are long-term retirement savings vehicles, particularly for participants early in their careers, there is no requirement that a fiduciary select only fully liquid products. Indeed, a prudent fiduciary process may regularly lead to a decision to sacrifice some plan- or individual-level liquidity, or both, in pursuit of additional risk-adjusted return.</w:t>
      </w:r>
    </w:p>
    <w:p>
      <w:r>
        <w:t>(1) Example. Participant-level liquidity —(i) Facts. Certain participant-level events, depending on the terms of the plan, may trigger a plan's need for immediate liquidity. Examples of these events include, but are not limited to, participant benefit withdrawals due to retirement, separation from service, or financial hardship, asset reallocations or reinvestments to other designated investment alternatives in the case of plans intended to meet the requirements of section 404(c) of ERISA, and plan loans.</w:t>
      </w:r>
    </w:p>
    <w:p>
      <w:r>
        <w:t>(ii) Analysis. Plan fiduciaries must give consideration to the potential for such events when selecting designated investment alternatives, especially qualified default investment alternatives (as defined in 29 CFR 2550.404c-5), for a plan investment menu. Further, on the basis of such consideration, the plan fiduciary must determine that the designated investment alternative, at the time of selection, will have sufficient liquidity to meet the anticipated liquidity needs of the plan.</w:t>
      </w:r>
    </w:p>
    <w:p>
      <w:r>
        <w:t>(iii) Conclusion. The participant-level liquidity needs of a given plan depend on the type of plan at issue, its features, and the overall profile of the participants and beneficiaries of the plan as a whole, particularly with respect to a qualified default investment alternative (as defined in 29 CFR 2550.404c-5), as well as, to the extent they are different, the participants and beneficiaries likely to select the particular designated investment alternative under review. A plan fiduciary, however, is deemed to have met the consideration and determination requirements of paragraph (i) of this section, and section 404(a)(1)(B) of ERISA, with respect to the participant-level liquidity needs of a given plan in connection with a given designated investment alternative (including one that holds a percentage of assets that are not securities, non-publicly traded securities, or securities acquired in exempt offerings) that is a mutual fund registered as an open-end management investment company with the U.S. Securities and Exchange Commission under the Investment Company Act of 1940. Such mutual funds are required by rules under such Act to adopt and implement a written liquidity risk management program that is designed to assess and manage their liquidity risk. In the case of a designated investment alternative that is not such a mutual fund, a plan fiduciary will be deemed to have met the consideration and determination requirements of paragraph (i) of this section and section 404(a)(1)(B) of ERISA if three conditions are met. First, the fiduciary obtains a written representation from the person responsible for managing the designated investment alternative, or otherwise performs appropriate due diligence, that the designated investment alternative has adopted and implemented a liquidity risk management program that is substantially similar to a program that meets the requirements of such Act.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(2) Example. Participant level liquidity; lifetime income —(i) Facts. The investment policy statement of a participant-directed individual account plan calls for lifetime income options on the plan investment menu. The named fiduciary selects several designated investment alternatives with such features, including a deferred annuity contract. Allocations to this contract, which are made on a monthly basis, grow at a rate specified under the contract, and monthly payments for life begin when the participant reaches age 65. Allocations to this contract become fully committed after 90 days and any immediate withdrawals by a participant before age 65 result in a penalty and a market value adjustment to the value of the annuity that begins at age 65. The restrictions on liquidity throughout the growth period enable greater monthly payments at age 65.</w:t>
      </w:r>
    </w:p>
    <w:p>
      <w:r>
        <w:t>(ii) Analysis. Paragraph (i) of this section clarifies that plan fiduciaries must appropriately consider the potential participant-level events that may trigger a plan's need for immediate liquidity, and must determine that the designated investment alternative, at the time of selection, will have sufficient liquidity to meet the anticipated liquidity needs of the plan. When assessing the liquidity needs of the plan, the plan fiduciary in this example must balance the restrictions on liquidity under the annuity contract with the value of the guaranteed monthly payments under the annuity contract, recognizing that such guarantees help plan participants manage investment and longevity risk. The fact that a designated investment alternative is fully allocated to an illiquid product, like an annuity, does not foreclose its selection, including, for example, where the fiduciary determines within its discretion that the lack of liquidity is justified by a commensurate expected increase in return on investment, certainty with respect to future payments, or both.</w:t>
      </w:r>
    </w:p>
    <w:p>
      <w:r>
        <w:t>(iii) Conclusion. In this example, the named fiduciary would satisfy the consideration and determination requirements of paragraph (i) of this section, and section 404(a)(1)(B) of ERISA, with respect to the designated investment alternative in question if the named fiduciary concluded that the increase in the value of the monthly payments and the certainty of the insurer's guarantee under the annuity contract justified the restrictions on liquidity.</w:t>
      </w:r>
    </w:p>
    <w:p>
      <w:r>
        <w:t>(3) Example. Plan-level liquidity —(i) Facts. Plan terminations, changes in plan recordkeepers or investment providers, and corporate sponsor mergers and acquisitions are examples of circumstances that may impose relatively short-term liquidity demands on a plan's designated investment alternatives. This is especially true in the case of a designated investment alternative (such as a pooled investment vehicle) with a strategy involving a target position in certain private assets along with public assets ( e.g., publicly traded securities). With such designated investment alternatives, a specific plan's (or, in a pooled investment product, other plan's or non-plan investors') need for relatively short-term liquidity ( e.g., when the investor wants to exit the investment) may present significant liquidity risk to the designated investment alternative as a whole such that it cannot maintain its asset allocation targets. Thus, in such circumstances, designated investment alternatives may or must impose temporal restrictions on redemptions ( e.g., they might require advance notice and permit only incremental redemptions over a period of time). When fulfilling withdrawals, particularly large withdrawals, diversified designated investment alternatives may temporarily deviate from their target asset allocations. For example, a designated investment alternative that is designed to have a 90 percent allocation to fully liquid instruments may have to temporarily accept a lower allocation to fully liquid instruments to satisfy a large withdrawal.</w:t>
      </w:r>
    </w:p>
    <w:p>
      <w:r>
        <w:t>(ii) Analysis. Plan fiduciaries must give consideration to, and determine, that the scope and duration of redemption restrictions at the plan level meet the anticipated needs of the plan. This includes whether the designated investment alternative has a sufficient process in place to balance the plan's potential need for withdrawal against the plan's desire for the designated investment alternative to maintain smooth and consistent target positions, including following a significant withdrawal of investors other than the plan.</w:t>
      </w:r>
    </w:p>
    <w:p>
      <w:r>
        <w:t>(iii) Conclusion. A plan fiduciary is deemed to have met the consideration and determination requirements of paragraph (i) of this section, and section 404(a)(1)(B) of ERISA, with respect to the plan-level liquidity needs of a given plan in connection with a given designated investment alternative (including one that holds a percentage of assets that are not securities, non-publicly traded securities, or securities acquired in exempt offerings) in either of the two following scenarios.</w:t>
      </w:r>
    </w:p>
    <w:p>
      <w:r>
        <w:t>(A) In the first scenario, the plan fiduciary evaluates, including, if appropriate, with the advice of a third-party investment advice fiduciary within the meaning of section 3(21)(A)(ii) of ERISA, in concert, the maximum that the designated investment alternative will allocate to illiquid investments, the time until such investments could likely be sold without reducing their value, the time until such investments will return capital to their investors, and the required advance notice plans must give before exiting the designated investment alternative. After this evaluation, the plan fiduciary concludes that the designated investment alternative will appropriately balance the future liquidity needs of the plan, the ability of the designated investment alternative to achieve increased risk-adjusted return on investment, and the ability to maintain its asset allocation targets even if there were redemptions from multiple plans or non-plan investors.</w:t>
      </w:r>
    </w:p>
    <w:p>
      <w:r>
        <w:t>(B) In the second scenario, the plan fiduciary relies on the fact that the designated investment alternative is a mutual fund registered as an open-end management investment company with the SEC under the Investment Company Act of 1940, which is required by rules under such Act to adopt and implement a written liquidity risk management program that is designed to assess and manage their liquidity risk. If the designated investment alternative is not such a fund, the fiduciary must meet three conditions. First, the fiduciary obtains a written representation from the person responsible for managing the designated investment alternative, or otherwise performs appropriate due diligence, that the designated investment alternative has adopted and implemented a liquidity risk management program that is substantially similar to a program that meets the liquidity risk management requirements under such Act.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(4) Example. Participant and plan-level liquidity —(i) Facts. A participant-directed individual account plan offers a designated investment alternative that is a pooled investment vehicle with an investment strategy involving target positions in particular types of assets, including holdings in private assets. According to written representations from the person responsible for managing the product, it is structured so that the timing of the product's ability to liquidate private-asset investments aligns generally with the redemption rights of plans investing in the product. Representations also are made that the product permits quarterly redemptions by investors and does not otherwise impose any specific limits or restrictions on timing or payment of redemptions. For individual participants, representations are made to the plan fiduciary that the designated investment alternative has adopted and implemented a liquidity risk-management program that imposes requirements substantially similar to the requirements related to liquidity risk management programs for mutual funds registered as open-end management investment companies with the SEC under the Investment Company Act of 1940. The fiduciary reads, critically reviews, and understands the written representations and consults a third-party investment advice fiduciary within the meaning of section 3(21)(A)(ii) of ERISA. The fiduciary does not know, or have reason to know, other information which would cause the fiduciary to question the written representations.</w:t>
      </w:r>
    </w:p>
    <w:p>
      <w:r>
        <w:t>(ii) Analysis. The example in paragraph (i)(1) of this section clarifies that plan fiduciaries must appropriately consider the potential participant-level events that may trigger a plan's need for immediate liquidity, and must determine that the designated investment alternative, at the time of selection, will have sufficient liquidity to meet the anticipated liquidity needs of the plan. Similarly, the example in paragraph (i)(3) of this section clarifies that plan fiduciaries must appropriately consider, and determine, that the scope and duration of redemption restrictions at the plan level meet the anticipated needs of the plan.</w:t>
      </w:r>
    </w:p>
    <w:p>
      <w:r>
        <w:t>(iii) Conclusion. A plan fiduciary is deemed to have met the consideration and determination requirements of paragraph (i) of this section, and section 404(a)(1)(B) of ERISA, with respect to the participant-level and plan-level liquidity needs of a given plan in connection with a given designated investment alternative when the fiduciary determines within its discretion that the redemption structures under the product are appropriate to the needs of the plan after giving due consideration, including, where applicable, with the benefit of analysis of professional advisors, to the specific needs of the plan, including its need to maximize risk-adjusted return on investment.</w:t>
      </w:r>
    </w:p>
    <w:p>
      <w:pPr>
        <w:pStyle w:val="Heading2"/>
      </w:pPr>
      <w:r>
        <w:t>Paragraph (j)</w:t>
      </w:r>
    </w:p>
    <w:p>
      <w:r>
        <w:t>(j) Valuation. The fiduciary must appropriately consider and determine that the designated investment alternative has adopted adequate measures to ensure that the designated investment alternative is capable of being timely and accurately valued in accordance with the needs of the plan.</w:t>
      </w:r>
    </w:p>
    <w:p>
      <w:r>
        <w:t>(1) Example. Valuation; Public exchanges —(i) Facts. A participant-directed individual account plan offers a designated investment alternative that allows participants to acquire shares of a mutual fund registered as an open-end management investment company with the SEC under the Investment Company Act. Except for necessary cash reserves for operating expenses, all the underlying investments of the designated investment alternative trade daily on a public exchange. The exchange is a national securities exchange which is regulated under section 6 of the Securities Exchange Act of 1934.</w:t>
      </w:r>
    </w:p>
    <w:p>
      <w:r>
        <w:t>(ii) Analysis. For purposes of determining the prudence of an investment, plan fiduciaries may rely on asset valuations derived from a national securities exchange or another similar, public exchange to the extent the exchange constitutes a generally recognized market through which the value of the investment is readily and accurately determinable in a timely manner.</w:t>
      </w:r>
    </w:p>
    <w:p>
      <w:r>
        <w:t>(iii) Conclusion. The plan fiduciary is deemed to have met the consideration and determination requirements of paragraph (j) of this section, and section 404(a)(1)(B) of ERISA, with respect to this designated investment alternative, provided that the alternative's organizational documents or prospectus indicate that its value is determined in all material respects by reference to the price of the security as reflected on the exchange at the time of the valuation.</w:t>
      </w:r>
    </w:p>
    <w:p>
      <w:r>
        <w:t>(2 ) Example. Valuation; FASB 820 —(i) Facts. A participant-directed individual account plan offers a designated investment alternative that invests in some securities that trade daily on a public exchange and some securities for which there is not a generally recognized market. The manager of the designated investment alternative represents in writing that the securities for which there is not a generally recognized market are valued through a conflict-free, independent process no less frequently than quarterly, according to procedures that satisfy the Financial Accounting Standards Board Accounting Standards Codification 820, titled Fair Value Measurements (or any successor standard). The current value of each share of the designated investment alternative is then communicated in writing to the named fiduciary of the plan.</w:t>
      </w:r>
    </w:p>
    <w:p>
      <w:r>
        <w:t>(ii) Analysis. For purposes of determining the prudence of an investment, plan fiduciaries may rely on asset valuations that result from the application of generally recognized procedures for measuring the fair value of assets for purposes of disclosure in financial statements prepared in accordance with U.S. generally accepted accounting principles, if applied through a conflict-free, independent process with respect to acquisition, disposition, or management of the assets.</w:t>
      </w:r>
    </w:p>
    <w:p>
      <w:r>
        <w:t>(iii) Conclusion. The named fiduciary of this plan is deemed to have met the consideration and determination requirements of paragraph (j) of this section, and section 404(a)(1)(B) of ERISA, with respect to this designated investment alternative under the following scenario. First, the named fiduciary reads, critically reviews, and understands the written representation, or otherwise performs appropriate due diligence on the valuation process, and consults a qualified professional where appropriate. Second, the named fiduciary does not know, or have reason to know, other information which would cause the named fiduciary to question any written representation. This conclusion would not change solely because the designated investment alternative permits its manager, acting in good faith, to adopt alternative valuation procedures if the manager determines and documents a temporary emergency that could result in a negative impact on investors if the generally applicable valuation procedures are followed ( e.g., if investors would be able to redeem their interests based on a valuation that the manager believes is inflated and that would result in a significant harm to remaining investors).</w:t>
      </w:r>
    </w:p>
    <w:p>
      <w:r>
        <w:t>(3) Example. Valuation; SEC rules —(i) Facts. A participant-directed individual account plan offers a designated investment alternative that is a mutual fund registered as an open-end management investment company with the SEC under the Investment Company Act of 1940 and that contains some securities that trade daily on a public exchange and some securities for which there is not a generally recognized market. Under the Investment Company Act and rules thereunder, among other things, mutual funds are required to have audited financial statements prepared in accordance with generally accepted accounting principles. These audited financial statements include an auditor's report. The fiduciary reviews the fund's publicly-available financial statements and valuation-related disclosures to confirm compliance with all applicable requirements under the Investment Company Act related to pricing and valuation of its shares, or otherwise performs appropriate due diligence. The fiduciary also reviews the fund's Form N-1A prospectus disclosures to confirm that a majority of the fund's board is independent.</w:t>
      </w:r>
    </w:p>
    <w:p>
      <w:r>
        <w:t>(ii) Analysis. For purposes of determining the prudence of an investment that is governed by the Investment Company Act, plan fiduciaries may rely on asset valuations that result from the application of reasonable valuation procedures adopted to comply with the Investment Company Act and rules thereunder.</w:t>
      </w:r>
    </w:p>
    <w:p>
      <w:r>
        <w:t>(iii) Conclusion. The plan fiduciary of this plan is deemed to have met the consideration and determination requirements of paragraph (j) of this section, and section 404(a)(1)(B) of ERISA, with respect to this designated investment alternative under the following scenario. First, the fiduciary reads the fund's publicly available audited financial statements and valuation-related disclosures, or otherwise performs appropriate due diligence on the valuation process, and consults a qualified professional as appropriate. Second, the fiduciary does not know, or have reason to know, other information which would cause the fiduciary to question the veracity of the audited financial statements.</w:t>
      </w:r>
    </w:p>
    <w:p>
      <w:r>
        <w:t>(4) Example. Valuation; Conflicts of interest —(i) Facts. The plan document for a participant-directed individual account plan specifies that the plan sponsor's chief financial officer is the named fiduciary of the plan and responsible for the establishment of the plan investment menu and selection and monitoring of designated investment alternatives. The named fiduciary selects as a designated investment alternative (or part of a broader investment alternative) a continuation fund (Fund) managed or controlled by an entity (Manager) that has recently acquired or contemplates an imminent acquisition of assets from an investment vehicle, such as another fund or vehicle with alternative assets, that is managed or controlled by the Manager or an affiliate of the Manager. The assets that were or will be purchased for the Fund from the investment vehicle do not trade on a public exchange and lack readily observable market prices, and the Manager was or will be able to control or influence—directly or indirectly—the price or other material terms on which the assets are transferred to the Fund. The Manager represents to the named fiduciary that valuation of the purchased assets is based on application of its proprietary valuation methods that rely on inputs provided by the Manager or its affiliates.</w:t>
      </w:r>
    </w:p>
    <w:p>
      <w:r>
        <w:t>(ii) Analysis. The named fiduciary must assess whether the assets have been or will be valued through a conflict-free and independent process. When a designated investment alternative is a continuation fund that has recently acquired or contemplates an imminent acquisition of assets in a transaction that may be materially and adversely affected by a significant conflict of interest, the fiduciary must determine that the conflict of interest has not and will not render the designated investment alternative's valuation inaccurate. The facts do not demonstrate that the fiduciary can make this determination.</w:t>
      </w:r>
    </w:p>
    <w:p>
      <w:r>
        <w:t>(iii) Conclusion. The facts in this example do not establish that the named fiduciary satisfied section 404(a)(1)(B) of ERISA and paragraph (j) of this section when selecting the designated investment alternative.</w:t>
      </w:r>
    </w:p>
    <w:p>
      <w:pPr>
        <w:pStyle w:val="Heading2"/>
      </w:pPr>
      <w:r>
        <w:t>Paragraph (k)</w:t>
      </w:r>
    </w:p>
    <w:p>
      <w:r>
        <w:t>(k) Performance benchmark. The plan fiduciary must appropriately consider and determine that each designated investment alternative has a meaningful benchmark, and compare the risk-adjusted expected returns of the designated investment alternative to the meaningful benchmark. There may be more than one meaningful benchmark for a designated investment alternative, however no single benchmark is a meaningful benchmark for all designated investment alternatives on a plan investment menu. A “meaningful benchmark” is an investment, strategy, index, or other comparator that has similar mandates, strategies, objectives, and risks to the designated investment alternative. The “risk-adjusted expected returns” of the designated investment alternative may be determined based on its historical performance unless it has none, in which case it may be determined based on the historical performance of a different investment with similar mandates, strategies, objectives, and risks and that is not the meaningful benchmark. While a plan fiduciary should identify benchmarks that are as meaningful as possible, there is no presumption or preference against new or innovative designated investment alternative designs. Instead, when considering a new or innovative product design, a fiduciary should seek to identify the best possible comparators to it while also scrutinizing the potential value proposition presented by the new or innovative design.</w:t>
      </w:r>
    </w:p>
    <w:p>
      <w:r>
        <w:t>(1) Example. Benchmark; Misalignment of strategies —(i) Facts. A participant-directed individual account plan offers a designated investment alternative that is a target date fund with an investment strategy and long-term objective of investing in different asset classes with varying degrees of risk, and which gradually becomes more conservative over time by adjusting the mix of asset classes. To compare the risk-adjusted expected returns of the target date fund to a meaningful benchmark, the named fiduciary compares the returns to a benchmark that is an index that only tracks the returns of large capitalization U.S. equities even though other benchmarks with more similarities to the designated investment alternative were readily available.</w:t>
      </w:r>
    </w:p>
    <w:p>
      <w:r>
        <w:t>(ii) Analysis. Paragraph (k) of this section provides that a “meaningful benchmark” is an investment, strategy, index, or other comparator that has similar mandates, strategies, objectives, and risks to the designated investment alternative.</w:t>
      </w:r>
    </w:p>
    <w:p>
      <w:r>
        <w:t>(iii) Conclusion. The facts in this example do not establish that the named fiduciary satisfied section 404(a)(1)(B) of ERISA and paragraph (k) of this section when selecting the designated investment alternative because the strategies of the benchmark are not similar to the investment strategy of the target-date fund and other benchmarks with more similarities were readily available.</w:t>
      </w:r>
    </w:p>
    <w:p>
      <w:r>
        <w:t>(2) Example. Custom composite benchmark; Private equity sleeve —(i) Facts. The named fiduciary of a participant-directed individual account plan selects as a designated investment alternative an asset allocation fund, which is registered under the Investment Company Act of 1940, that contains a private equity sleeve in addition to publicly traded stocks and bonds. In making this selection, the named fiduciary prudently enlists the assistance of an investment advice fiduciary within the meaning of section 3(21)(A)(ii) of ERISA. The investment advice fiduciary, who has no affiliation with the asset allocation fund, recommends the designated investment after creating a composite benchmark against which to measure risk-adjusted expected returns of the sleeves of the designated investment alternative. For the publicly traded stock and bond sleeves, the composite benchmark blends the performance of broad-based securities market indices reflective of and in proportion to the stock and bond holdings of the designated investment alternative. For the private equity sleeve, the investment advice fiduciary uses a combination of methodologies commonly used by investment professionals, including the internal rate of return method and a public market equivalent method, and presents these measures with explanations of how to interpret them to monitor the designated investment alternative's performance over time. The investment advice fiduciary also provides the named fiduciary with a written explanation of the composite benchmark. The named fiduciary reads, critically reviews, and understands the written explanation, and does not know, or have reason to know, other information which would cause the named fiduciary to question the written explanation.</w:t>
      </w:r>
    </w:p>
    <w:p>
      <w:r>
        <w:t>(ii) Analysis. The named fiduciary must ensure that its decision is based on a meaningful benchmark. In determining whether a particular benchmark is a meaningful benchmark, a named fiduciary may rely on a benchmark created by a prudently selected investment advice fiduciary that is independent of the manager of the designated investment alternative. A named fiduciary need not be more expert in benchmark construction and analytics than the investment advice expert hired by the named fiduciary to assist in the selection process.</w:t>
      </w:r>
    </w:p>
    <w:p>
      <w:r>
        <w:t>(iii) Conclusion. The named fiduciary in this example satisfies this paragraph (k) and ERISA section 404(a)(1)(B) by considering and determining that the designated investment alternative has a meaningful benchmark and comparing the risk-adjusted expected returns of the designated investment alternative to the meaningful benchmark. The composite benchmark reflects the strategies and proportions of the underlying assets of the designated investment alternative. The named fiduciary read, critically reviewed, and understood the investment advice fiduciary's explanation of the composite benchmark.</w:t>
      </w:r>
    </w:p>
    <w:p>
      <w:r>
        <w:t>(3) Example. Custom composite benchmark; Public securities —(i) Facts. The named fiduciary for a participant-directed individual account plan selects a target date fund as a designated investment alternative. The target date fund holds only publicly traded stocks and bonds. As part of the selection process, the fiduciary appropriately considers whether a particular custom composite benchmark is a meaningful benchmark. The custom composite benchmark is a blend of broad-based securities market indices. The blend represents the asset allocation used to implement the target date fund's strategy. The named fiduciary reads, critically reviews and understands the benchmark description and determines that the custom composite benchmark is a meaningful benchmark. The named fiduciary compares the historical performance of the target date fund to the historical returns of the custom composite benchmark as a means of evaluating the risk-adjusted expected returns of the target date fund.</w:t>
      </w:r>
    </w:p>
    <w:p>
      <w:r>
        <w:t>(ii) Analysis. In determining whether a particular benchmark is a meaningful benchmark with respect to a designated investment alternative, plan fiduciaries may rely on benchmarks that blend multiple broad-based securities market indices to represent the asset allocation used to implement the target date fund's strategy. Plan fiduciaries should review and understand the benchmark description or consult with an investment professional, as appropriate. The custom composite benchmark described in this example is meaningful because it reflects a similar strategy as the designated investment alternative. The custom composite benchmark can reveal whether the fund has outperformed or underperformed the benchmark in each asset class, providing valuable information to the plan fiduciary about the fund's investment selection decisions.</w:t>
      </w:r>
    </w:p>
    <w:p>
      <w:r>
        <w:t>(iii) Conclusion. The plan fiduciary in this example satisfies this paragraph (k) and ERISA section 404(a)(1)(B) by considering and determining within its discretion that the designated investment alternative has a meaningful benchmark and comparing the risk-adjusted expected returns of the designated investment alternative to the meaningful benchmark.</w:t>
      </w:r>
    </w:p>
    <w:p>
      <w:pPr>
        <w:pStyle w:val="Heading2"/>
      </w:pPr>
      <w:r>
        <w:t>Paragraph (l)</w:t>
      </w:r>
    </w:p>
    <w:p>
      <w:r>
        <w:t>(l) Complexity. The plan fiduciary must appropriately consider the complexity of the designated investment alternative and determine that it has the skills, knowledge, experience, and capacity to comprehend it sufficiently to discharge its obligations under ERISA and the governing plan documents or whether it must seek assistance from a qualified investment advice fiduciary, investment manager, or other individual.</w:t>
      </w:r>
    </w:p>
    <w:p>
      <w:r>
        <w:t>(1) Example. Complexity; Fees —(i) Facts. A participant-directed individual account plan offers a designated investment alternative that is a pooled investment vehicle with an investment strategy involving target positions in particular types of assets, which includes holdings of private assets. The private assets in the designated investment alternative are varied and use sophisticated and variable fee-based incentive structures to drive performance, including management fees and performance fees which include carried interest rights.</w:t>
      </w:r>
    </w:p>
    <w:p>
      <w:r>
        <w:t>(ii) Analysis. As described in more detail in paragraph (h), the fiduciary must determine that the fees and expenses of the designated investment alternative are appropriate, taking into account the designated investment alternative's risk-adjusted expected returns and any other value the designated investment alternative brings to furthering the purposes of the plan. In order to make this determination, the plan fiduciary must comprehend the fees that will be charged to the plan and determine, within its discretion, that such fees are appropriate given the value proposition offered by the designated investment alternative.</w:t>
      </w:r>
    </w:p>
    <w:p>
      <w:r>
        <w:t>(iii) Conclusion. A plan fiduciary is deemed to have met the comprehension requirements of paragraph (l) of this section, and section 404(a)(1)(B) of ERISA, with respect to the complexity of a designated investment alternative's fee structure in either of the two following scenarios.</w:t>
      </w:r>
    </w:p>
    <w:p>
      <w:r>
        <w:t>(A) In the first scenario, the plan fiduciary conducts relevant due diligence to understand each fee that the plan may pay, and, in so doing, critically evaluates and determines, including, if appropriate, with the advice of a third-party investment advice fiduciary within the meaning of section 3(21)(A)(ii) of ERISA, the average total expected rate of the designated investment alternative's fees, when fees will be paid, and how they will be determined. After this evaluation, the plan fiduciary determines (1) that the fee structure will deliver increased value by incentivizing performance which will, in turn, increase expected risk-adjusted return on investment and (2) that this increase outweighs the variability or potential unpredictability of the amount and timing of the fees.</w:t>
      </w:r>
    </w:p>
    <w:p>
      <w:r>
        <w:t>(B) In the second scenario, three conditions are met. First, the fiduciary obtains a written representation from the person responsible for managing the designated investment alternative, or otherwise performs adequate due diligence to confirm, that none of the underlying fees will be passed through to the plan, and that, instead, the plan will pay an appropriate, flat, AUM-based fee, to the person responsible for managing the designated investment alternative, who will then internalize the underlying fees.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(2) Example. Complexity; Participant needs —(i) Facts. The plan document for a participant-directed individual account plan specifies that the plan sponsor's chief financial officer is the named fiduciary of the plan and responsible for the establishment of the plan investment menu and selection and monitoring of designated investment alternatives. The named fiduciary does not enlist the services of an investment advice fiduciary within the meaning of section 3(21)(A)(ii) of ERISA, an investment manager within the meaning of section 3(38) of ERISA, or any other type of professional consultant. The named fiduciary adds a managed account service to create a customized portfolio tailored to each participant's unique financial circumstances as the plan's qualified default investment alternative. But, because the named fiduciary does not understand the design of the managed account service, the named fiduciary provides only the age of each participant to the managed account service, instead of providing, or allowing the participants to provide, information about the participants' unique financial circumstances. Based on each participant's age, the managed account service creates a portfolio for each participant that is materially similar in terms of strategies, historical performance, and liquidity to the portfolio that each participant would have been exposed to in the plan's target date fund—another designated investment alternative in the plan. The target date fund has substantially lower fees than the managed account service.</w:t>
      </w:r>
    </w:p>
    <w:p>
      <w:r>
        <w:t>(ii) Analysis. A plan fiduciary must, including with the help of professional investment advisers like third-party investment advice fiduciaries within the meaning of section 3(21)(A)(ii) of ERISA, when appropriate, determine that it has the skills, knowledge, experience, and capacity to understand each designated investment alternative sufficiently to discharge its obligations under ERISA and the governing plan documents.</w:t>
      </w:r>
    </w:p>
    <w:p>
      <w:r>
        <w:t>(iii) Conclusion. The facts in this example do not establish that the named fiduciary satisfied section 404(a)(1)(B) of ERISA and paragraph (l) of this section in selecting the management account service as a designated investment alternative. The selection and implementation process appears to be flawed because the named fiduciary failed to comprehend the features, values, and fees of the designated investment alternative. After an appropriate due diligence process, a plan fiduciary would ordinarily be expected to understand how a designated investment alternative functions and delivers value to plan participants and operationalize it accordingly.</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