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1.57 vs PSP (reference, not the benchmark).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Ares Private Markets Fund</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9.27%</w:t>
            </w:r>
          </w:p>
        </w:tc>
        <w:tc>
          <w:tcPr>
            <w:tcW w:type="dxa" w:w="1337"/>
          </w:tcPr>
          <w:p>
            <w:r>
              <w:t>16.1%</w:t>
            </w:r>
          </w:p>
        </w:tc>
        <w:tc>
          <w:tcPr>
            <w:tcW w:type="dxa" w:w="1337"/>
          </w:tcPr>
          <w:p>
            <w:r>
              <w:t>8.23%</w:t>
            </w:r>
          </w:p>
        </w:tc>
        <w:tc>
          <w:tcPr>
            <w:tcW w:type="dxa" w:w="1337"/>
          </w:tcPr>
          <w:p>
            <w:r>
              <w:t>n/a</w:t>
            </w:r>
          </w:p>
        </w:tc>
        <w:tc>
          <w:tcPr>
            <w:tcW w:type="dxa" w:w="1337"/>
          </w:tcPr>
          <w:p>
            <w:r>
              <w:t>6.45%</w:t>
            </w:r>
          </w:p>
        </w:tc>
      </w:tr>
      <w:tr>
        <w:tc>
          <w:tcPr>
            <w:tcW w:type="dxa" w:w="1337"/>
          </w:tcPr>
          <w:p>
            <w:r>
              <w:t>FY2024 (year to 2024-03-31)</w:t>
            </w:r>
          </w:p>
        </w:tc>
        <w:tc>
          <w:tcPr>
            <w:tcW w:type="dxa" w:w="1337"/>
          </w:tcPr>
          <w:p>
            <w:r>
              <w:t>4</w:t>
            </w:r>
          </w:p>
        </w:tc>
        <w:tc>
          <w:tcPr>
            <w:tcW w:type="dxa" w:w="1337"/>
          </w:tcPr>
          <w:p>
            <w:r>
              <w:t>17.1%</w:t>
            </w:r>
          </w:p>
        </w:tc>
        <w:tc>
          <w:tcPr>
            <w:tcW w:type="dxa" w:w="1337"/>
          </w:tcPr>
          <w:p>
            <w:r>
              <w:t>12.68%</w:t>
            </w:r>
          </w:p>
        </w:tc>
        <w:tc>
          <w:tcPr>
            <w:tcW w:type="dxa" w:w="1337"/>
          </w:tcPr>
          <w:p>
            <w:r>
              <w:t>13.79%</w:t>
            </w:r>
          </w:p>
        </w:tc>
        <w:tc>
          <w:tcPr>
            <w:tcW w:type="dxa" w:w="1337"/>
          </w:tcPr>
          <w:p>
            <w:r>
              <w:t>n/a</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19.95%</w:t>
            </w:r>
          </w:p>
        </w:tc>
        <w:tc>
          <w:tcPr>
            <w:tcW w:type="dxa" w:w="1337"/>
          </w:tcPr>
          <w:p>
            <w:r>
              <w:t>12.59%</w:t>
            </w:r>
          </w:p>
        </w:tc>
        <w:tc>
          <w:tcPr>
            <w:tcW w:type="dxa" w:w="1337"/>
          </w:tcPr>
          <w:p>
            <w:r>
              <w:t>10.76%</w:t>
            </w:r>
          </w:p>
        </w:tc>
        <w:tc>
          <w:tcPr>
            <w:tcW w:type="dxa" w:w="1337"/>
          </w:tcPr>
          <w:p>
            <w:r>
              <w:t>n/a</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9.58%</w:t>
            </w:r>
          </w:p>
        </w:tc>
        <w:tc>
          <w:tcPr>
            <w:tcW w:type="dxa" w:w="1337"/>
          </w:tcPr>
          <w:p>
            <w:r>
              <w:t>14.6%</w:t>
            </w:r>
          </w:p>
        </w:tc>
        <w:tc>
          <w:tcPr>
            <w:tcW w:type="dxa" w:w="1337"/>
          </w:tcPr>
          <w:p>
            <w:r>
              <w:t>10.47%</w:t>
            </w:r>
          </w:p>
        </w:tc>
        <w:tc>
          <w:tcPr>
            <w:tcW w:type="dxa" w:w="1337"/>
          </w:tcPr>
          <w:p>
            <w:r>
              <w:t>n/a</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1.12</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