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ARK Venture Fund (TRUE interval fund (Rule 23c-3), venture/growth (ARKVX), CIK 1905088)</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escalated.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Flags raised by the record (each restates a typed value or verdict, with its source):</w:t>
      </w:r>
    </w:p>
    <w:p>
      <w:pPr>
        <w:pStyle w:val="ListBullet"/>
      </w:pPr>
      <w:r>
        <w:t>Benchmark: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gate_history (cells 3.1, 3.3)</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SEC-required comparator</w:t>
            </w:r>
          </w:p>
        </w:tc>
        <w:tc>
          <w:tcPr>
            <w:tcW w:type="dxa" w:w="3456"/>
          </w:tcPr>
          <w:p>
            <w:r>
              <w:t>S&amp;P 500 Index</w:t>
            </w:r>
          </w:p>
        </w:tc>
        <w:tc>
          <w:tcPr>
            <w:tcW w:type="dxa" w:w="864"/>
          </w:tcPr>
          <w:p>
            <w:r/>
          </w:p>
        </w:tc>
        <w:tc>
          <w:tcPr>
            <w:tcW w:type="dxa" w:w="3888"/>
          </w:tcPr>
          <w:p>
            <w:r>
              <w:t>held, scored 7/12, fails the strategy gate (strategy_match 1/3). KS-PME 1.3988, Direct Alpha 9.04%/yr, 2022-08-31 to 2026-07-17</w:t>
            </w:r>
          </w:p>
        </w:tc>
      </w:tr>
      <w:tr>
        <w:tc>
          <w:tcPr>
            <w:tcW w:type="dxa" w:w="1152"/>
          </w:tcPr>
          <w:p>
            <w:r>
              <w:t>SEC-required comparator</w:t>
            </w:r>
          </w:p>
        </w:tc>
        <w:tc>
          <w:tcPr>
            <w:tcW w:type="dxa" w:w="3456"/>
          </w:tcPr>
          <w:p>
            <w:r>
              <w:t>MSCI World (Net) Index</w:t>
            </w:r>
          </w:p>
        </w:tc>
        <w:tc>
          <w:tcPr>
            <w:tcW w:type="dxa" w:w="864"/>
          </w:tcPr>
          <w:p>
            <w:r/>
          </w:p>
        </w:tc>
        <w:tc>
          <w:tcPr>
            <w:tcW w:type="dxa" w:w="3888"/>
          </w:tcPr>
          <w:p>
            <w:r>
              <w:t>held, scored 7/12, fails the strategy gate (strategy_match 1/3). KS-PME 1.4242, Direct Alpha 9.55%/yr, 2022-08-31 to 2026-07-17</w:t>
            </w:r>
          </w:p>
        </w:tc>
      </w:tr>
      <w:tr>
        <w:tc>
          <w:tcPr>
            <w:tcW w:type="dxa" w:w="1152"/>
          </w:tcPr>
          <w:p>
            <w:r>
              <w:t>Peer comparison (paragraphs (g) and (h))</w:t>
            </w:r>
          </w:p>
        </w:tc>
        <w:tc>
          <w:tcPr>
            <w:tcW w:type="dxa" w:w="3456"/>
          </w:tcPr>
          <w:p>
            <w:r>
              <w:t>Peer composite, pre-IPO and venture cohort without ARK Venture Fund</w:t>
            </w:r>
          </w:p>
        </w:tc>
        <w:tc>
          <w:tcPr>
            <w:tcW w:type="dxa" w:w="864"/>
          </w:tcPr>
          <w:p>
            <w:r>
              <w:t>not scored</w:t>
            </w:r>
          </w:p>
        </w:tc>
        <w:tc>
          <w:tcPr>
            <w:tcW w:type="dxa" w:w="3888"/>
          </w:tcPr>
          <w:p>
            <w:r>
              <w:t>composite refused: fewer than 3 peers remain after leaving ARK Venture Fund out (2: Destiny Tech100 Inc, Neostellar Capital Corp.)</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gating, suspension or postponement is disclosed, but the tendered-versus-accepted amounts are not printed: the Sep-2024 offer was fully utilized at its cap with proration, if any, not stated (R2-P1-12 rule)).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gating, suspension or postponement is disclosed, but the tendered-versus-accepted amounts are not printed: the Sep-2024 offer was fully utilized at its cap with proration, if any, not stated (R2-P1-12 rule)</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2.75%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c>
          <w:tcPr>
            <w:tcW w:type="dxa" w:w="2880"/>
          </w:tcPr>
          <w:p>
            <w:r>
              <w:t>2.4 AFFE</w:t>
            </w:r>
          </w:p>
        </w:tc>
        <w:tc>
          <w:tcPr>
            <w:tcW w:type="dxa" w:w="3600"/>
          </w:tcPr>
          <w:p>
            <w:r>
              <w:t>AFFE 0.01%</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Pre-IPO / venture growth (listed CEF + listed BDC + interval fund) (n=3).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