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vs VNQ (reference, not the benchmark).</w:t>
            </w:r>
          </w:p>
          <w:p>
            <w:r>
              <w:t>1.1 Net total return series (extracted-unverified): FULL printed monthly NAV/share series, Class I, Jan 2023 - Dec 2025 (36 points) + Jun 2026 from the 10-Q -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 ODCE (private core RE) scored 9/12: no comparison computed (cited, series not in the record: no comparison computed).</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but this issuer HAS prorated under stress (3.3). Source: this plan's liquidity match.</w:t>
            </w:r>
          </w:p>
          <w:p>
            <w:r>
              <w:t>3.9 Product-to-plan liquidity match (computed, this plan): Structural liquidity verdict CONDITIONAL-WEAK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c>
          <w:tcPr>
            <w:tcW w:type="dxa" w:w="1728"/>
          </w:tcPr>
          <w:p>
            <w:r>
              <w:t>5. Performance Benchmarks (k)</w:t>
            </w:r>
          </w:p>
        </w:tc>
        <w:tc>
          <w:tcPr>
            <w:tcW w:type="dxa" w:w="7632"/>
          </w:tcPr>
          <w:p>
            <w:r>
              <w:t>Typed facts: 5.3 NFI-ODCE selected, 9/12.</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NCREIF Fund Index - ODCE (private core RE) (score 9/12)</w:t>
      </w:r>
    </w:p>
    <w:p>
      <w:r>
        <w:t>Comparison not computed: cited, series not in the record: no comparison computed. The candidate is selected on its own descriptors. No number is substituted.</w:t>
      </w:r>
    </w:p>
    <w:p>
      <w:pPr>
        <w:pStyle w:val="ListBullet"/>
      </w:pPr>
      <w:r>
        <w:t>strategy_match 3/3: a private-market index of real estate for a core-plus non-traded real estate fund</w:t>
      </w:r>
    </w:p>
    <w:p>
      <w:pPr>
        <w:pStyle w:val="ListBullet"/>
      </w:pPr>
      <w:r>
        <w:t>risk_liquidity_match 2/3: appraisal-based index of periodically dealt funds (monthly dealing at NAV under 2% cap per month and 5% cap per quarter, requests prorated in the filings on record).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BREIT declares no benchmark index anywhere in the FY2025 10-K.</w:t>
      </w:r>
    </w:p>
    <w:p>
      <w:pPr>
        <w:pStyle w:val="Heading2"/>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r>
        <w:t>Composite refused: fewer than 3 peers remain after leaving Blackstone Real Estate Income Trust Inc out (2: Starwood Real Estate Income Trust, Inc., JLL Income Property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Blackstone Real Estate Income Trust Inc</w:t>
            </w:r>
          </w:p>
        </w:tc>
        <w:tc>
          <w:tcPr>
            <w:tcW w:type="dxa" w:w="1872"/>
          </w:tcPr>
          <w:p>
            <w:r>
              <w:t>Starwood Real Estate Income Trust, Inc.</w:t>
            </w:r>
          </w:p>
        </w:tc>
        <w:tc>
          <w:tcPr>
            <w:tcW w:type="dxa" w:w="1872"/>
          </w:tcPr>
          <w:p>
            <w:r>
              <w:t>JLL Income Property Trust, Inc.</w:t>
            </w:r>
          </w:p>
        </w:tc>
      </w:tr>
      <w:tr>
        <w:tc>
          <w:tcPr>
            <w:tcW w:type="dxa" w:w="1872"/>
          </w:tcPr>
          <w:p>
            <w:r>
              <w:t>2023</w:t>
            </w:r>
          </w:p>
        </w:tc>
        <w:tc>
          <w:tcPr>
            <w:tcW w:type="dxa" w:w="1872"/>
          </w:tcPr>
          <w:p>
            <w:r>
              <w:t>1</w:t>
            </w:r>
          </w:p>
        </w:tc>
        <w:tc>
          <w:tcPr>
            <w:tcW w:type="dxa" w:w="1872"/>
          </w:tcPr>
          <w:p>
            <w:r>
              <w:t>-0.5%</w:t>
            </w:r>
          </w:p>
        </w:tc>
        <w:tc>
          <w:tcPr>
            <w:tcW w:type="dxa" w:w="1872"/>
          </w:tcPr>
          <w:p>
            <w:r>
              <w:t>n/a</w:t>
            </w:r>
          </w:p>
        </w:tc>
        <w:tc>
          <w:tcPr>
            <w:tcW w:type="dxa" w:w="1872"/>
          </w:tcPr>
          <w:p>
            <w:r>
              <w:t>n/a</w:t>
            </w:r>
          </w:p>
        </w:tc>
      </w:tr>
      <w:tr>
        <w:tc>
          <w:tcPr>
            <w:tcW w:type="dxa" w:w="1872"/>
          </w:tcPr>
          <w:p>
            <w:r>
              <w:t>2024</w:t>
            </w:r>
          </w:p>
        </w:tc>
        <w:tc>
          <w:tcPr>
            <w:tcW w:type="dxa" w:w="1872"/>
          </w:tcPr>
          <w:p>
            <w:r>
              <w:t>1</w:t>
            </w:r>
          </w:p>
        </w:tc>
        <w:tc>
          <w:tcPr>
            <w:tcW w:type="dxa" w:w="1872"/>
          </w:tcPr>
          <w:p>
            <w:r>
              <w:t>2%</w:t>
            </w:r>
          </w:p>
        </w:tc>
        <w:tc>
          <w:tcPr>
            <w:tcW w:type="dxa" w:w="1872"/>
          </w:tcPr>
          <w:p>
            <w:r>
              <w:t>n/a</w:t>
            </w:r>
          </w:p>
        </w:tc>
        <w:tc>
          <w:tcPr>
            <w:tcW w:type="dxa" w:w="1872"/>
          </w:tcPr>
          <w:p>
            <w:r>
              <w:t>n/a</w:t>
            </w:r>
          </w:p>
        </w:tc>
      </w:tr>
      <w:tr>
        <w:tc>
          <w:tcPr>
            <w:tcW w:type="dxa" w:w="1872"/>
          </w:tcPr>
          <w:p>
            <w:r>
              <w:t>2025</w:t>
            </w:r>
          </w:p>
        </w:tc>
        <w:tc>
          <w:tcPr>
            <w:tcW w:type="dxa" w:w="1872"/>
          </w:tcPr>
          <w:p>
            <w:r>
              <w:t>2</w:t>
            </w:r>
          </w:p>
        </w:tc>
        <w:tc>
          <w:tcPr>
            <w:tcW w:type="dxa" w:w="1872"/>
          </w:tcPr>
          <w:p>
            <w:r>
              <w:t>8.1%</w:t>
            </w:r>
          </w:p>
        </w:tc>
        <w:tc>
          <w:tcPr>
            <w:tcW w:type="dxa" w:w="1872"/>
          </w:tcPr>
          <w:p>
            <w:r>
              <w:t>-2.4%</w:t>
            </w:r>
          </w:p>
        </w:tc>
        <w:tc>
          <w:tcPr>
            <w:tcW w:type="dxa" w:w="1872"/>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core-plus non-traded real estate), risk_liquidity_match 1/3: daily-liquid market series against a semi-liquid NAV fund (monthly dealing at NAV under 2% cap per month and 5% cap per quarter, requests prorated in the filings on record):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 but this issuer HAS prorated under stress (3.3).</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industrial manufacturer 401(k) plan (~$0.8B, OH) (ILLUSTRATIVE): CONDITIONAL.</w:t>
      </w:r>
    </w:p>
    <w:p>
      <w:r>
        <w:t>Meaningful benchmark (paragraph (k)): NCREIF Fund Index - ODCE (private core RE) at 9/12, cited, series not in the record. 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14, partial 8, fetched 1, n/a 12, pending 0. 43 of 43 resolvable, 0 verified, 12 n/a by wrapper.</w:t>
      </w:r>
    </w:p>
    <w:p>
      <w:r>
        <w:t>Of the 42 evidenced cells, 42 carry a source document, 42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1.12</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