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Committee packet</w:t>
      </w:r>
    </w:p>
    <w:p>
      <w:r>
        <w:rPr>
          <w:b/>
        </w:rPr>
        <w:t>Plan: US industrial manufacturer 401(k) plan (~$0.8B, OH)</w:t>
        <w:br/>
      </w:r>
      <w:r>
        <w:t>Product: Cliffwater Corporate Lending Fund (TRUE interval fund (Rule 23c-3), private credit, CIK 1735964)</w:t>
        <w:br/>
      </w:r>
      <w:r>
        <w:t>Record as of 2026-09-04. DRAFT, generated by the build from the record. The decision memo for the same plan and product is a separate document.</w:t>
      </w:r>
    </w:p>
    <w:p>
      <w:pPr>
        <w:pStyle w:val="Heading1"/>
      </w:pPr>
      <w:r>
        <w:t>Summary</w:t>
      </w:r>
    </w:p>
    <w:p>
      <w:r>
        <w:t>Structural liquidity verdict: PARTIAL (typed facts, plan-independent). Scenario verdict under this plan (ILLUSTRATIVE, default sliders): CONDITIONAL.</w:t>
      </w:r>
    </w:p>
    <w:p>
      <w:r>
        <w:t>Meaningful benchmark (paragraph (k)): Senior loan investable proxy (BKLN, for Morningstar LSTA class) at 8/12, KS-PME 1.2532, Direct Alpha 3.22%/yr over 2019-06-05 to 2026-07-17.</w:t>
      </w:r>
    </w:p>
    <w:p>
      <w:r>
        <w:t>Peer comparison (paragraphs (g) and (h)): relative wealth ratio 1.0613, annualized excess return 1.2%/yr (not a public market equivalent) vs the peer composite over 2021 to 2025 (n=4), not a benchmark.</w:t>
      </w:r>
    </w:p>
    <w:p>
      <w:r>
        <w:t>Flags raised by the record (each restates a typed value or verdict, with its source):</w:t>
      </w:r>
    </w:p>
    <w:p>
      <w:pPr>
        <w:pStyle w:val="ListBullet"/>
      </w:pPr>
      <w:r>
        <w:t>Liquidity: structural verdict partial, facts missing: gate_history (cells 3.1, 3.3)</w:t>
      </w:r>
    </w:p>
    <w:p>
      <w:r>
        <w:t>Evidence coverage: 45 of 45 resolvable, 0 verified, 10 n/a by wrapper. Verified by a person: 0. Advisor-stated inputs for this plan: 0 of 6.</w:t>
      </w:r>
    </w:p>
    <w:p>
      <w:r>
        <w:t>The committee makes the decision on this record. This packet does not decide.</w:t>
      </w:r>
    </w:p>
    <w:p>
      <w:pPr>
        <w:pStyle w:val="Heading1"/>
      </w:pPr>
      <w:r>
        <w:t>Exhibit A. Benchmark selection and rejection ledger</w:t>
      </w:r>
    </w:p>
    <w:p>
      <w:r>
        <w:t>Tark benchmark rubric, 12 points, threshold 7 of 12, strategy gate, affiliated providers ineligible. Max attainable by an eligible candidate on held data 8/12.</w:t>
      </w:r>
    </w:p>
    <w:tbl>
      <w:tblPr>
        <w:tblStyle w:val="TableGrid"/>
        <w:tblW w:type="auto" w:w="0"/>
        <w:tblLook w:firstColumn="1" w:firstRow="1" w:lastColumn="0" w:lastRow="0" w:noHBand="0" w:noVBand="1" w:val="04A0"/>
      </w:tblPr>
      <w:tblGrid>
        <w:gridCol w:w="2340"/>
        <w:gridCol w:w="2340"/>
        <w:gridCol w:w="2340"/>
        <w:gridCol w:w="2340"/>
      </w:tblGrid>
      <w:tr>
        <w:tc>
          <w:tcPr>
            <w:tcW w:type="dxa" w:w="1152"/>
          </w:tcPr>
          <w:p>
            <w:r>
              <w:t>Slot</w:t>
            </w:r>
          </w:p>
        </w:tc>
        <w:tc>
          <w:tcPr>
            <w:tcW w:type="dxa" w:w="3456"/>
          </w:tcPr>
          <w:p>
            <w:r>
              <w:t>Candidate</w:t>
            </w:r>
          </w:p>
        </w:tc>
        <w:tc>
          <w:tcPr>
            <w:tcW w:type="dxa" w:w="864"/>
          </w:tcPr>
          <w:p>
            <w:r>
              <w:t>Score</w:t>
            </w:r>
          </w:p>
        </w:tc>
        <w:tc>
          <w:tcPr>
            <w:tcW w:type="dxa" w:w="3888"/>
          </w:tcPr>
          <w:p>
            <w:r>
              <w:t>Outcome</w:t>
            </w:r>
          </w:p>
        </w:tc>
      </w:tr>
      <w:tr>
        <w:tc>
          <w:tcPr>
            <w:tcW w:type="dxa" w:w="1152"/>
          </w:tcPr>
          <w:p>
            <w:r>
              <w:t>Meaningful benchmark (paragraph (k))</w:t>
            </w:r>
          </w:p>
        </w:tc>
        <w:tc>
          <w:tcPr>
            <w:tcW w:type="dxa" w:w="3456"/>
          </w:tcPr>
          <w:p>
            <w:r>
              <w:t>Senior loan investable proxy (BKLN, for Morningstar LSTA class)</w:t>
            </w:r>
          </w:p>
        </w:tc>
        <w:tc>
          <w:tcPr>
            <w:tcW w:type="dxa" w:w="864"/>
          </w:tcPr>
          <w:p>
            <w:r>
              <w:t>8/12</w:t>
            </w:r>
          </w:p>
        </w:tc>
        <w:tc>
          <w:tcPr>
            <w:tcW w:type="dxa" w:w="3888"/>
          </w:tcPr>
          <w:p>
            <w:r>
              <w:t>KS-PME 1.2532, Direct Alpha 3.22%/yr, 2019-06-05 to 2026-07-17</w:t>
            </w:r>
          </w:p>
        </w:tc>
      </w:tr>
      <w:tr>
        <w:tc>
          <w:tcPr>
            <w:tcW w:type="dxa" w:w="1152"/>
          </w:tcPr>
          <w:p>
            <w:r>
              <w:t>SEC-required comparator</w:t>
            </w:r>
          </w:p>
        </w:tc>
        <w:tc>
          <w:tcPr>
            <w:tcW w:type="dxa" w:w="3456"/>
          </w:tcPr>
          <w:p>
            <w:r>
              <w:t>Morningstar LSTA US Leveraged Loan</w:t>
            </w:r>
          </w:p>
        </w:tc>
        <w:tc>
          <w:tcPr>
            <w:tcW w:type="dxa" w:w="864"/>
          </w:tcPr>
          <w:p>
            <w:r/>
          </w:p>
        </w:tc>
        <w:tc>
          <w:tcPr>
            <w:tcW w:type="dxa" w:w="3888"/>
          </w:tcPr>
          <w:p>
            <w:r>
              <w:t>cited, not held, scored 6/12, below the threshold</w:t>
            </w:r>
          </w:p>
        </w:tc>
      </w:tr>
      <w:tr>
        <w:tc>
          <w:tcPr>
            <w:tcW w:type="dxa" w:w="1152"/>
          </w:tcPr>
          <w:p>
            <w:r>
              <w:t>SEC-required comparator</w:t>
            </w:r>
          </w:p>
        </w:tc>
        <w:tc>
          <w:tcPr>
            <w:tcW w:type="dxa" w:w="3456"/>
          </w:tcPr>
          <w:p>
            <w:r>
              <w:t>Bloomberg US Aggregate</w:t>
            </w:r>
          </w:p>
        </w:tc>
        <w:tc>
          <w:tcPr>
            <w:tcW w:type="dxa" w:w="864"/>
          </w:tcPr>
          <w:p>
            <w:r/>
          </w:p>
        </w:tc>
        <w:tc>
          <w:tcPr>
            <w:tcW w:type="dxa" w:w="3888"/>
          </w:tcPr>
          <w:p>
            <w:r>
              <w:t>cited, not held, scored 6/12, below the threshold</w:t>
            </w:r>
          </w:p>
        </w:tc>
      </w:tr>
      <w:tr>
        <w:tc>
          <w:tcPr>
            <w:tcW w:type="dxa" w:w="1152"/>
          </w:tcPr>
          <w:p>
            <w:r>
              <w:t>Peer comparison (paragraphs (g) and (h))</w:t>
            </w:r>
          </w:p>
        </w:tc>
        <w:tc>
          <w:tcPr>
            <w:tcW w:type="dxa" w:w="3456"/>
          </w:tcPr>
          <w:p>
            <w:r>
              <w:t>Peer composite, private credit cohort without Cliffwater Corporate Lending Fund</w:t>
            </w:r>
          </w:p>
        </w:tc>
        <w:tc>
          <w:tcPr>
            <w:tcW w:type="dxa" w:w="864"/>
          </w:tcPr>
          <w:p>
            <w:r>
              <w:t>not scored</w:t>
            </w:r>
          </w:p>
        </w:tc>
        <w:tc>
          <w:tcPr>
            <w:tcW w:type="dxa" w:w="3888"/>
          </w:tcPr>
          <w:p>
            <w:r>
              <w:t>relative wealth ratio 1.0613, annualized excess return 1.2%/yr (not a public market equivalent), 2021 to 2025 (n=4)</w:t>
            </w:r>
          </w:p>
        </w:tc>
      </w:tr>
      <w:tr>
        <w:tc>
          <w:tcPr>
            <w:tcW w:type="dxa" w:w="1152"/>
          </w:tcPr>
          <w:p>
            <w:r>
              <w:t>rejected</w:t>
            </w:r>
          </w:p>
        </w:tc>
        <w:tc>
          <w:tcPr>
            <w:tcW w:type="dxa" w:w="3456"/>
          </w:tcPr>
          <w:p>
            <w:r>
              <w:t>Cliffwater Direct Lending Index (CDLI)</w:t>
            </w:r>
          </w:p>
        </w:tc>
        <w:tc>
          <w:tcPr>
            <w:tcW w:type="dxa" w:w="864"/>
          </w:tcPr>
          <w:p>
            <w:r>
              <w:t>7/12</w:t>
            </w:r>
          </w:p>
        </w:tc>
        <w:tc>
          <w:tcPr>
            <w:tcW w:type="dxa" w:w="3888"/>
          </w:tcPr>
          <w:p>
            <w:r>
              <w:t>rejected: affiliated provider (score 7/12), an index published by the fund's own adviser is ineligible for the meaningful-benchmark slot</w:t>
            </w:r>
          </w:p>
        </w:tc>
      </w:tr>
      <w:tr>
        <w:tc>
          <w:tcPr>
            <w:tcW w:type="dxa" w:w="1152"/>
          </w:tcPr>
          <w:p>
            <w:r>
              <w:t>rejected</w:t>
            </w:r>
          </w:p>
        </w:tc>
        <w:tc>
          <w:tcPr>
            <w:tcW w:type="dxa" w:w="3456"/>
          </w:tcPr>
          <w:p>
            <w:r>
              <w:t>Bloomberg US Aggregate Bond Index</w:t>
            </w:r>
          </w:p>
        </w:tc>
        <w:tc>
          <w:tcPr>
            <w:tcW w:type="dxa" w:w="864"/>
          </w:tcPr>
          <w:p>
            <w:r>
              <w:t>6/12</w:t>
            </w:r>
          </w:p>
        </w:tc>
        <w:tc>
          <w:tcPr>
            <w:tcW w:type="dxa" w:w="3888"/>
          </w:tcPr>
          <w:p>
            <w:r>
              <w:t>score 6/12 below the threshold 7/12</w:t>
            </w:r>
          </w:p>
        </w:tc>
      </w:tr>
      <w:tr>
        <w:tc>
          <w:tcPr>
            <w:tcW w:type="dxa" w:w="1152"/>
          </w:tcPr>
          <w:p>
            <w:r>
              <w:t>rejected</w:t>
            </w:r>
          </w:p>
        </w:tc>
        <w:tc>
          <w:tcPr>
            <w:tcW w:type="dxa" w:w="3456"/>
          </w:tcPr>
          <w:p>
            <w:r>
              <w:t>Credit Suisse Leveraged Loan Index (CSLLI)</w:t>
            </w:r>
          </w:p>
        </w:tc>
        <w:tc>
          <w:tcPr>
            <w:tcW w:type="dxa" w:w="864"/>
          </w:tcPr>
          <w:p>
            <w:r>
              <w:t>6/12</w:t>
            </w:r>
          </w:p>
        </w:tc>
        <w:tc>
          <w:tcPr>
            <w:tcW w:type="dxa" w:w="3888"/>
          </w:tcPr>
          <w:p>
            <w:r>
              <w:t>score 6/12 below the threshold 7/12</w:t>
            </w:r>
          </w:p>
        </w:tc>
      </w:tr>
      <w:tr>
        <w:tc>
          <w:tcPr>
            <w:tcW w:type="dxa" w:w="1152"/>
          </w:tcPr>
          <w:p>
            <w:r>
              <w:t>rejected</w:t>
            </w:r>
          </w:p>
        </w:tc>
        <w:tc>
          <w:tcPr>
            <w:tcW w:type="dxa" w:w="3456"/>
          </w:tcPr>
          <w:p>
            <w:r>
              <w:t>Morningstar LSTA US Leveraged Loan Index</w:t>
            </w:r>
          </w:p>
        </w:tc>
        <w:tc>
          <w:tcPr>
            <w:tcW w:type="dxa" w:w="864"/>
          </w:tcPr>
          <w:p>
            <w:r>
              <w:t>6/12</w:t>
            </w:r>
          </w:p>
        </w:tc>
        <w:tc>
          <w:tcPr>
            <w:tcW w:type="dxa" w:w="3888"/>
          </w:tcPr>
          <w:p>
            <w:r>
              <w:t>score 6/12 below the threshold 7/12</w:t>
            </w:r>
          </w:p>
        </w:tc>
      </w:tr>
    </w:tbl>
    <w:p>
      <w:pPr>
        <w:pStyle w:val="Heading1"/>
      </w:pPr>
      <w:r>
        <w:t>Exhibit B. Liquidity match for this plan</w:t>
      </w:r>
    </w:p>
    <w:p>
      <w:r>
        <w:t>Plan: US industrial manufacturer 401(k) plan (~$0.8B, OH). verdict is structural (typed facts, cells 3.1, 3.3, 2.7, plan-independent). scenario_verdict is ILLUSTRATIVE (the plan's filed outflow proxy as the base demand and the sliders as the stress, against the same capacity, per plan).</w:t>
      </w:r>
    </w:p>
    <w:p>
      <w:pPr>
        <w:pStyle w:val="Heading2"/>
      </w:pPr>
      <w:r>
        <w:t>Structural verdict (typed facts, plan-independent)</w:t>
      </w:r>
    </w:p>
    <w:p>
      <w:r>
        <w:t>PARTIAL</w:t>
      </w:r>
    </w:p>
    <w:p>
      <w:pPr>
        <w:pStyle w:val="ListBullet"/>
      </w:pPr>
      <w:r>
        <w:t>STRUCTURAL GAP: a participant-directed 404(c) menu assumes daily pricing and daily participant liquidity, whereas this wrapper deals quarterly with a 5% cap per quarter on outstanding shares. Direct DIA use requires a bridging structure: CIT sleeve, managed account, or TDF sleeve (cell 3.5).</w:t>
      </w:r>
    </w:p>
    <w:p>
      <w:pPr>
        <w:pStyle w:val="ListBullet"/>
      </w:pPr>
      <w:r>
        <w:t>Facts missing for a structural verdict: gate_history (N-23C3A filings are offer NOTIFICATIONS, not results. Per-offer proration outcomes not yet evidenced). The verdict stays partial until they are typed from the filings.</w:t>
      </w:r>
    </w:p>
    <w:tbl>
      <w:tblPr>
        <w:tblStyle w:val="TableGrid"/>
        <w:tblW w:type="auto" w:w="0"/>
        <w:tblLook w:firstColumn="1" w:firstRow="1" w:lastColumn="0" w:lastRow="0" w:noHBand="0" w:noVBand="1" w:val="04A0"/>
      </w:tblPr>
      <w:tblGrid>
        <w:gridCol w:w="3120"/>
        <w:gridCol w:w="3120"/>
        <w:gridCol w:w="3120"/>
      </w:tblGrid>
      <w:tr>
        <w:tc>
          <w:tcPr>
            <w:tcW w:type="dxa" w:w="2448"/>
          </w:tcPr>
          <w:p>
            <w:r>
              <w:t>Wrapper fact</w:t>
            </w:r>
          </w:p>
        </w:tc>
        <w:tc>
          <w:tcPr>
            <w:tcW w:type="dxa" w:w="5760"/>
          </w:tcPr>
          <w:p>
            <w:r>
              <w:t>Value</w:t>
            </w:r>
          </w:p>
        </w:tc>
        <w:tc>
          <w:tcPr>
            <w:tcW w:type="dxa" w:w="1152"/>
          </w:tcPr>
          <w:p>
            <w:r>
              <w:t>Cell</w:t>
            </w:r>
          </w:p>
        </w:tc>
      </w:tr>
      <w:tr>
        <w:tc>
          <w:tcPr>
            <w:tcW w:type="dxa" w:w="2448"/>
          </w:tcPr>
          <w:p>
            <w:r>
              <w:t>Wrapper</w:t>
            </w:r>
          </w:p>
        </w:tc>
        <w:tc>
          <w:tcPr>
            <w:tcW w:type="dxa" w:w="5760"/>
          </w:tcPr>
          <w:p>
            <w:r>
              <w:t>interval fund (Rule 23c-3)</w:t>
            </w:r>
          </w:p>
        </w:tc>
        <w:tc>
          <w:tcPr>
            <w:tcW w:type="dxa" w:w="1152"/>
          </w:tcPr>
          <w:p>
            <w:r>
              <w:t>6.1</w:t>
            </w:r>
          </w:p>
        </w:tc>
      </w:tr>
      <w:tr>
        <w:tc>
          <w:tcPr>
            <w:tcW w:type="dxa" w:w="2448"/>
          </w:tcPr>
          <w:p>
            <w:r>
              <w:t>Dealing terms</w:t>
            </w:r>
          </w:p>
        </w:tc>
        <w:tc>
          <w:tcPr>
            <w:tcW w:type="dxa" w:w="5760"/>
          </w:tcPr>
          <w:p>
            <w:r>
              <w:t>quarterly offers, 5% cap per quarter on outstanding shares</w:t>
            </w:r>
          </w:p>
        </w:tc>
        <w:tc>
          <w:tcPr>
            <w:tcW w:type="dxa" w:w="1152"/>
          </w:tcPr>
          <w:p>
            <w:r>
              <w:t>3.1</w:t>
            </w:r>
          </w:p>
        </w:tc>
      </w:tr>
      <w:tr>
        <w:tc>
          <w:tcPr>
            <w:tcW w:type="dxa" w:w="2448"/>
          </w:tcPr>
          <w:p>
            <w:r>
              <w:t>Repurchase caps</w:t>
            </w:r>
          </w:p>
        </w:tc>
        <w:tc>
          <w:tcPr>
            <w:tcW w:type="dxa" w:w="5760"/>
          </w:tcPr>
          <w:p>
            <w:r>
              <w:t>5% per quarter, 20% per year</w:t>
            </w:r>
          </w:p>
        </w:tc>
        <w:tc>
          <w:tcPr>
            <w:tcW w:type="dxa" w:w="1152"/>
          </w:tcPr>
          <w:p>
            <w:r>
              <w:t>3.1</w:t>
            </w:r>
          </w:p>
        </w:tc>
      </w:tr>
      <w:tr>
        <w:tc>
          <w:tcPr>
            <w:tcW w:type="dxa" w:w="2448"/>
          </w:tcPr>
          <w:p>
            <w:r>
              <w:t>Annual capacity (binding cap)</w:t>
            </w:r>
          </w:p>
        </w:tc>
        <w:tc>
          <w:tcPr>
            <w:tcW w:type="dxa" w:w="5760"/>
          </w:tcPr>
          <w:p>
            <w:r>
              <w:t>20% of the position per year</w:t>
            </w:r>
          </w:p>
        </w:tc>
        <w:tc>
          <w:tcPr>
            <w:tcW w:type="dxa" w:w="1152"/>
          </w:tcPr>
          <w:p>
            <w:r>
              <w:t>3.1</w:t>
            </w:r>
          </w:p>
        </w:tc>
      </w:tr>
      <w:tr>
        <w:tc>
          <w:tcPr>
            <w:tcW w:type="dxa" w:w="2448"/>
          </w:tcPr>
          <w:p>
            <w:r>
              <w:t>Gating history</w:t>
            </w:r>
          </w:p>
        </w:tc>
        <w:tc>
          <w:tcPr>
            <w:tcW w:type="dxa" w:w="5760"/>
          </w:tcPr>
          <w:p>
            <w:r>
              <w:t>not typed: N-23C3A filings are offer NOTIFICATIONS, not results. Per-offer proration outcomes not yet evidenced</w:t>
            </w:r>
          </w:p>
        </w:tc>
        <w:tc>
          <w:tcPr>
            <w:tcW w:type="dxa" w:w="1152"/>
          </w:tcPr>
          <w:p>
            <w:r>
              <w:t>3.3</w:t>
            </w:r>
          </w:p>
        </w:tc>
      </w:tr>
      <w:tr>
        <w:tc>
          <w:tcPr>
            <w:tcW w:type="dxa" w:w="2448"/>
          </w:tcPr>
          <w:p>
            <w:r>
              <w:t>Repurchase program status</w:t>
            </w:r>
          </w:p>
        </w:tc>
        <w:tc>
          <w:tcPr>
            <w:tcW w:type="dxa" w:w="5760"/>
          </w:tcPr>
          <w:p>
            <w:r>
              <w:t>not typed: no suspension language in 3.1 or 3.3 as of 2026-03-31</w:t>
            </w:r>
          </w:p>
        </w:tc>
        <w:tc>
          <w:tcPr>
            <w:tcW w:type="dxa" w:w="1152"/>
          </w:tcPr>
          <w:p>
            <w:r>
              <w:t>3.1</w:t>
            </w:r>
          </w:p>
        </w:tc>
      </w:tr>
      <w:tr>
        <w:tc>
          <w:tcPr>
            <w:tcW w:type="dxa" w:w="2448"/>
          </w:tcPr>
          <w:p>
            <w:r>
              <w:t>Early repurchase fee</w:t>
            </w:r>
          </w:p>
        </w:tc>
        <w:tc>
          <w:tcPr>
            <w:tcW w:type="dxa" w:w="5760"/>
          </w:tcPr>
          <w:p>
            <w:r>
              <w:t>none at fund level (2.7)</w:t>
            </w:r>
          </w:p>
        </w:tc>
        <w:tc>
          <w:tcPr>
            <w:tcW w:type="dxa" w:w="1152"/>
          </w:tcPr>
          <w:p>
            <w:r>
              <w:t>2.7</w:t>
            </w:r>
          </w:p>
        </w:tc>
      </w:tr>
      <w:tr>
        <w:tc>
          <w:tcPr>
            <w:tcW w:type="dxa" w:w="2448"/>
          </w:tcPr>
          <w:p>
            <w:r>
              <w:t>Fund net assets (for the dollar capacity)</w:t>
            </w:r>
          </w:p>
        </w:tc>
        <w:tc>
          <w:tcPr>
            <w:tcW w:type="dxa" w:w="5760"/>
          </w:tcPr>
          <w:p>
            <w:r>
              <w:t>not typed: net assets ~$31.26B printed, but the carrying cells (1.1/3.6) are partial - verification unlocks this fact</w:t>
            </w:r>
          </w:p>
        </w:tc>
        <w:tc>
          <w:tcPr>
            <w:tcW w:type="dxa" w:w="1152"/>
          </w:tcPr>
          <w:p>
            <w:r>
              <w:t>3.4</w:t>
            </w:r>
          </w:p>
        </w:tc>
      </w:tr>
    </w:tbl>
    <w:p>
      <w:pPr>
        <w:pStyle w:val="Heading2"/>
      </w:pPr>
      <w:r>
        <w:t>Scenario (ILLUSTRATIVE, this plan)</w:t>
      </w:r>
    </w:p>
    <w:p>
      <w:r>
        <w:t>Plan inputs (Form 5500): net assets $791.7M, liquidity tail 14.9% of accounts (1,136 separated participants with balances), filed outflow proxy 11.5% of beginning net assets per year (Schedule H totals of the plan's Form 5500 for plan year 2024-01-01 to 2024-12-31, from the plan record: total expenses less administrative expenses over beginning net assets, an upper bound on benefit payments while Schedule H line 2e is not in the record).</w:t>
      </w:r>
    </w:p>
    <w:p>
      <w:r>
        <w:t>Base demand (filed outflow proxy applied to a 5% allocation = $39.6M): $4.6M/yr = 11.5% of the position per year vs annual wrapper capacity 20%.</w:t>
      </w:r>
    </w:p>
    <w:p>
      <w:r>
        <w:t>Slider assumption (adjustable on the site, not a fact): tail turnover 20%/yr, active turnover 5%/yr, 7.2% of the position per year = $2.9M/yr, shown beside the filed rate, not blended with it.</w:t>
      </w:r>
    </w:p>
    <w:p>
      <w:r>
        <w:t>Stressed (the filed outflow proxy plus the increment the sliders add under stress (tail turnover x2, active turnover x1.5 over the slider assumption)): demand $6.6M/yr = 16.6% of the position. within wrapper capacity (16.6% vs 20%) IF offers are not prorated.</w:t>
      </w:r>
    </w:p>
    <w:p>
      <w:r>
        <w:t>Fund capacity in dollars: not computable, the fund's net assets are not typed in the record (net assets ~$31.26B printed, but the carrying cells (1.1/3.6) are partial - verification unlocks this fact), so the plan's dollar demand cannot be set against the fund's dollar capacity and the allocation slider is not shown.</w:t>
      </w:r>
    </w:p>
    <w:p>
      <w:r>
        <w:t>Scenario verdict (ILLUSTRATIVE, this plan): CONDITIONAL.</w:t>
      </w:r>
    </w:p>
    <w:p>
      <w:pPr>
        <w:pStyle w:val="ListBullet"/>
      </w:pPr>
      <w:r>
        <w:t>Capacity: 5% per quarter on outstanding shares: at most 20% of the position per year. This is a FUND-level cap shared by every holder, so the plan's position is served only while offers are not oversubscribed.</w:t>
      </w:r>
    </w:p>
    <w:p>
      <w:pPr>
        <w:pStyle w:val="ListBullet"/>
      </w:pPr>
      <w:r>
        <w:t>Filed outflow proxy (Schedule H, plan year 2024-01-01 to 2024-12-31): 11.5% of the position per year vs 20% annual wrapper capacity, the plan's total expenses less administrative expenses over beginning net assets, applied to the position. Adequate headroom at the filed rate if offers are not prorated.</w:t>
      </w:r>
    </w:p>
    <w:p>
      <w:pPr>
        <w:pStyle w:val="ListBullet"/>
      </w:pPr>
      <w:r>
        <w:t>Slider assumption (illustrative): 7.2% of the position per year vs 20% annual wrapper capacity, from tail turnover 20%/yr on the 14.9% of accounts that are separated and active turnover 5%/yr on the rest. Shown beside the filed rate, not blended with it. Within 60% of wrapper capacity at these sliders.</w:t>
      </w:r>
    </w:p>
    <w:p>
      <w:pPr>
        <w:pStyle w:val="ListBullet"/>
      </w:pPr>
      <w:r>
        <w:t>Scenario verdict (ILLUSTRATIVE, this plan): conditional. Misaligned when the filed outflow proxy exceeds the annual wrapper capacity, conditional-weak when the stressed demand exceeds it, conditional otherwise. It moves with the plan's filing and the sliders. Proration assumption: an oversubscribed offer is filled pro rata and the unfilled remainder waits for the next window.</w:t>
      </w:r>
    </w:p>
    <w:p>
      <w:pPr>
        <w:pStyle w:val="ListBullet"/>
      </w:pPr>
      <w:r>
        <w:t>Schedule H benefit-payment line 2e is not yet in the plan record. The filed outflow proxy (total expenses less administrative expenses over beginning net assets) stands in for it as the base demand, and the turnover sliders are the stress around it.</w:t>
      </w:r>
    </w:p>
    <w:p>
      <w:r>
        <w:t>Cited: cell 2.7, cell 3.1, cell 3.3, cell 3.7, plan: plan_manufacturer_union.json (Form 5500, plan year 2024-01-01 to 2024-12-31).</w:t>
      </w:r>
    </w:p>
    <w:p>
      <w:pPr>
        <w:pStyle w:val="Heading1"/>
      </w:pPr>
      <w:r>
        <w:t>Exhibit C. Fees and terms, typed layer</w:t>
      </w:r>
    </w:p>
    <w:p>
      <w:r>
        <w:t>Each line is the typed fact that cites the cell, or the cell's status word when no fact is typed. Full text and provenance are in the record.</w:t>
      </w:r>
    </w:p>
    <w:tbl>
      <w:tblPr>
        <w:tblStyle w:val="TableGrid"/>
        <w:tblW w:type="auto" w:w="0"/>
        <w:tblLook w:firstColumn="1" w:firstRow="1" w:lastColumn="0" w:lastRow="0" w:noHBand="0" w:noVBand="1" w:val="04A0"/>
      </w:tblPr>
      <w:tblGrid>
        <w:gridCol w:w="3120"/>
        <w:gridCol w:w="3120"/>
        <w:gridCol w:w="3120"/>
      </w:tblGrid>
      <w:tr>
        <w:tc>
          <w:tcPr>
            <w:tcW w:type="dxa" w:w="2880"/>
          </w:tcPr>
          <w:p>
            <w:r>
              <w:t>Cell</w:t>
            </w:r>
          </w:p>
        </w:tc>
        <w:tc>
          <w:tcPr>
            <w:tcW w:type="dxa" w:w="3600"/>
          </w:tcPr>
          <w:p>
            <w:r>
              <w:t>Typed headline</w:t>
            </w:r>
          </w:p>
        </w:tc>
        <w:tc>
          <w:tcPr>
            <w:tcW w:type="dxa" w:w="2880"/>
          </w:tcPr>
          <w:p>
            <w:r>
              <w:t>Status</w:t>
            </w:r>
          </w:p>
        </w:tc>
      </w:tr>
      <w:tr>
        <w:tc>
          <w:tcPr>
            <w:tcW w:type="dxa" w:w="2880"/>
          </w:tcPr>
          <w:p>
            <w:r>
              <w:t>2.1 Management fee (rate AND base)</w:t>
            </w:r>
          </w:p>
        </w:tc>
        <w:tc>
          <w:tcPr>
            <w:tcW w:type="dxa" w:w="3600"/>
          </w:tcPr>
          <w:p>
            <w:r>
              <w:t>1.00% on net assets</w:t>
            </w:r>
          </w:p>
        </w:tc>
        <w:tc>
          <w:tcPr>
            <w:tcW w:type="dxa" w:w="2880"/>
          </w:tcPr>
          <w:p>
            <w:r>
              <w:t>extracted-unverified</w:t>
            </w:r>
          </w:p>
        </w:tc>
      </w:tr>
      <w:tr>
        <w:tc>
          <w:tcPr>
            <w:tcW w:type="dxa" w:w="2880"/>
          </w:tcPr>
          <w:p>
            <w:r>
              <w:t>2.2 Incentive fee terms</w:t>
            </w:r>
          </w:p>
        </w:tc>
        <w:tc>
          <w:tcPr>
            <w:tcW w:type="dxa" w:w="3600"/>
          </w:tcPr>
          <w:p>
            <w:r>
              <w:t>no typed fact for this cell</w:t>
            </w:r>
          </w:p>
        </w:tc>
        <w:tc>
          <w:tcPr>
            <w:tcW w:type="dxa" w:w="2880"/>
          </w:tcPr>
          <w:p>
            <w:r>
              <w:t>partial</w:t>
            </w:r>
          </w:p>
        </w:tc>
      </w:tr>
      <w:tr>
        <w:tc>
          <w:tcPr>
            <w:tcW w:type="dxa" w:w="2880"/>
          </w:tcPr>
          <w:p>
            <w:r>
              <w:t>2.3 Total expense ratio &amp; waivers</w:t>
            </w:r>
          </w:p>
        </w:tc>
        <w:tc>
          <w:tcPr>
            <w:tcW w:type="dxa" w:w="3600"/>
          </w:tcPr>
          <w:p>
            <w:r>
              <w:t>1.36% expense ratio, before waivers, excluding interest expense (3.31% including interest, FY2026)</w:t>
            </w:r>
          </w:p>
        </w:tc>
        <w:tc>
          <w:tcPr>
            <w:tcW w:type="dxa" w:w="2880"/>
          </w:tcPr>
          <w:p>
            <w:r>
              <w:t>extracted-unverified</w:t>
            </w:r>
          </w:p>
        </w:tc>
      </w:tr>
      <w:tr>
        <w:tc>
          <w:tcPr>
            <w:tcW w:type="dxa" w:w="2880"/>
          </w:tcPr>
          <w:p>
            <w:r>
              <w:t>2.4 AFFE</w:t>
            </w:r>
          </w:p>
        </w:tc>
        <w:tc>
          <w:tcPr>
            <w:tcW w:type="dxa" w:w="3600"/>
          </w:tcPr>
          <w:p>
            <w:r>
              <w:t>AFFE 0.25%</w:t>
            </w:r>
          </w:p>
        </w:tc>
        <w:tc>
          <w:tcPr>
            <w:tcW w:type="dxa" w:w="2880"/>
          </w:tcPr>
          <w:p>
            <w:r>
              <w:t>extracted-unverified</w:t>
            </w:r>
          </w:p>
        </w:tc>
      </w:tr>
      <w:tr>
        <w:tc>
          <w:tcPr>
            <w:tcW w:type="dxa" w:w="2880"/>
          </w:tcPr>
          <w:p>
            <w:r>
              <w:t>2.6 Loads &amp; servicing fees</w:t>
            </w:r>
          </w:p>
        </w:tc>
        <w:tc>
          <w:tcPr>
            <w:tcW w:type="dxa" w:w="3600"/>
          </w:tcPr>
          <w:p>
            <w:r>
              <w:t>no typed fact for this cell</w:t>
            </w:r>
          </w:p>
        </w:tc>
        <w:tc>
          <w:tcPr>
            <w:tcW w:type="dxa" w:w="2880"/>
          </w:tcPr>
          <w:p>
            <w:r>
              <w:t>extracted-unverified</w:t>
            </w:r>
          </w:p>
        </w:tc>
      </w:tr>
      <w:tr>
        <w:tc>
          <w:tcPr>
            <w:tcW w:type="dxa" w:w="2880"/>
          </w:tcPr>
          <w:p>
            <w:r>
              <w:t>2.7 Early repurchase fee</w:t>
            </w:r>
          </w:p>
        </w:tc>
        <w:tc>
          <w:tcPr>
            <w:tcW w:type="dxa" w:w="3600"/>
          </w:tcPr>
          <w:p>
            <w:r>
              <w:t>early repurchase fee: none</w:t>
            </w:r>
          </w:p>
        </w:tc>
        <w:tc>
          <w:tcPr>
            <w:tcW w:type="dxa" w:w="2880"/>
          </w:tcPr>
          <w:p>
            <w:r>
              <w:t>extracted-unverified</w:t>
            </w:r>
          </w:p>
        </w:tc>
      </w:tr>
      <w:tr>
        <w:tc>
          <w:tcPr>
            <w:tcW w:type="dxa" w:w="2880"/>
          </w:tcPr>
          <w:p>
            <w:r>
              <w:t>6.4 Tax reporting (1099 vs K-1)</w:t>
            </w:r>
          </w:p>
        </w:tc>
        <w:tc>
          <w:tcPr>
            <w:tcW w:type="dxa" w:w="3600"/>
          </w:tcPr>
          <w:p>
            <w:r>
              <w:t>no typed fact for this cell</w:t>
            </w:r>
          </w:p>
        </w:tc>
        <w:tc>
          <w:tcPr>
            <w:tcW w:type="dxa" w:w="2880"/>
          </w:tcPr>
          <w:p>
            <w:r>
              <w:t>partial</w:t>
            </w:r>
          </w:p>
        </w:tc>
      </w:tr>
    </w:tbl>
    <w:p>
      <w:pPr>
        <w:pStyle w:val="Heading1"/>
      </w:pPr>
      <w:r>
        <w:t>Exhibit D. Peer cohort placement</w:t>
      </w:r>
    </w:p>
    <w:p>
      <w:r>
        <w:t>Cohort Private credit (interval fund + non-traded BDC) (n=5). Direct corporate lending in a Rule 23c-3 interval wrapper, the cohort's reference member. Daily NAV, quarterly obligated liquidity.</w:t>
      </w:r>
    </w:p>
    <w:p>
      <w:r>
        <w:t>Cohort placement (private credit cohort): mgmt fee: 10th percentile of cohort (n=5), below the median of 1.25 | expense ratio (bases differ, see notes): 10th percentile of cohort (n=5), below the median of 3.76 | repurchase cap: 50th percentile of cohort (n=5), at the median of 5. Statistics and per-member values are in the cohort artifact, membership rationales in the typed facts.</w:t>
      </w:r>
    </w:p>
    <w:p>
      <w:pPr>
        <w:pStyle w:val="ListBullet"/>
      </w:pPr>
      <w:r>
        <w:t>LEVERAGE-REGIME MIX: BDC 150% coverage and non-1940-Act wrappers allow materially more leverage than 1940-Act funds. Fee bases and return volatility are not like-for-like. [typed per product: bcred: BDC 150% asset-coverage regime, cion_ares: 1940-Act asset-coverage limits, cliffwater_cclfx: 1940-Act asset-coverage limits, ocic: BDC 150% asset-coverage regime, pflex: 1940-Act asset-coverage limits]</w:t>
      </w:r>
    </w:p>
    <w:p>
      <w:pPr>
        <w:pStyle w:val="ListBullet"/>
      </w:pPr>
      <w:r>
        <w:t>LIQUIDITY-LAW MIX: Rule 23c-3 obligations, discretionary tenders, and repurchase plans give different worst-case exit rights. Cadence numbers alone overstate comparability. [by wrapper type: bcred: board-discretionary share repurchases, cion_ares: Rule 23c-3 OBLIGATION (board cannot skip a window), cliffwater_cclfx: Rule 23c-3 OBLIGATION (board cannot skip a window), ocic: board-discretionary share repurchases, pflex: Rule 23c-3 OBLIGATION (board cannot skip a window)]</w:t>
      </w:r>
    </w:p>
    <w:p>
      <w:pPr>
        <w:pStyle w:val="ListBullet"/>
      </w:pPr>
      <w:r>
        <w:t>NAV-CADENCE MIX: daily, monthly, and quarterly NAV processes embed different appraisal smoothing. Volatility and drawdown comparisons inherit that difference (see de-smoothing lab). [typed per product: bcred: monthly, cion_ares: daily, cliffwater_cclfx: daily, ocic: quarterly, pflex: daily]</w:t>
      </w:r>
    </w:p>
    <w:p>
      <w:pPr>
        <w:pStyle w:val="Heading1"/>
      </w:pPr>
      <w:r>
        <w:t>Advisor-stated inputs (this plan)</w:t>
      </w:r>
    </w:p>
    <w:p>
      <w:r>
        <w:t>An advisor-stated cell is the adopting fiduciary's own input for its plan, signed and dated. It is not evidence, it is never extracted or verified, and the product record's cell stays as it is.</w:t>
      </w:r>
    </w:p>
    <w:p>
      <w:r>
        <w:t>None stated for US industrial manufacturer 401(k) plan (~$0.8B, OH).</w:t>
      </w:r>
    </w:p>
    <w:p>
      <w:pPr>
        <w:pStyle w:val="Heading1"/>
      </w:pPr>
      <w:r>
        <w:t>Provenance</w:t>
      </w:r>
    </w:p>
    <w:p>
      <w:r>
        <w:t>Cell status for this product: structured 0, extracted-unverified 23, verified 0, computed 13, partial 7, fetched 2, n/a 10, pending 0.</w:t>
      </w:r>
    </w:p>
    <w:p>
      <w:r>
        <w:t>Regulatory basis: Fiduciary Duties in Selecting Designated Investment Alternatives, 91 FR 16088 (Mar. 31, 2026), RIN 1210-AC38, proposed 29 CFR 2550.404a-6, paragraphs (g) to (l), cited not paraphrased. Every figure above is a cited cell, a typed projection of one, or an engine artifact of the record as of 2026-09-04. Scenario figures are ILLUSTRATIVE. The plan is shown under its anonymized label.</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