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US industrial manufacturer 401(k) plan (~$0.8B, OH)</w:t>
        <w:br/>
      </w:r>
      <w:r>
        <w:t>Product: Hamilton Lane Private Assets Fund (tender-offer fund ('40 Act); NOT an interval fund, CIK 1803491)</w:t>
        <w:br/>
      </w:r>
      <w:r>
        <w:t>Record as of 2026-09-04. DRAFT, generated by the build from the record. The decision memo for the same plan and product is a separate document.</w:t>
      </w:r>
    </w:p>
    <w:p>
      <w:pPr>
        <w:pStyle w:val="Heading1"/>
      </w:pPr>
      <w:r>
        <w:t>Summary</w:t>
      </w:r>
    </w:p>
    <w:p>
      <w:r>
        <w:t>Structural liquidity verdict: PARTIAL (typed facts, plan-independent). Scenario verdict under this plan (ILLUSTRATIVE, default sliders): CONDITIONAL.</w:t>
      </w:r>
    </w:p>
    <w:p>
      <w:r>
        <w:t>Meaningful benchmark (paragraph (k)): Cambridge Associates US PE benchmark at 9/12, no comparison computed (cited, series not in the record: no comparison computed).</w:t>
      </w:r>
    </w:p>
    <w:p>
      <w:r>
        <w:t>Reference comparison, not the meaningful benchmark: Listed private equity investable proxy (PSP), KS-PME 1.9565, Direct Alpha 14.37%/yr over 2021-03-31 to 2026-03-31.</w:t>
      </w:r>
    </w:p>
    <w:p>
      <w:r>
        <w:t>Peer comparison (paragraphs (g) and (h)): composite refused, members report on different year ends and no member has a series that builds a common calendar period (StepStone Private Markets fiscal years to month 03, KKR Private Equity Conglomerate LLC calendar years, Ares Private Markets Fund fiscal years to month 03, AMG Pantheon Fund, LLC fiscal years to month 03, Hamilton Lane Private Assets Fund fiscal years to month 03). A composite needs identical start and end dates for every member.</w:t>
      </w:r>
    </w:p>
    <w:p>
      <w:r>
        <w:t>Flags raised by the record (each restates a typed value or verdict, with its source):</w:t>
      </w:r>
    </w:p>
    <w:p>
      <w:pPr>
        <w:pStyle w:val="ListBullet"/>
      </w:pPr>
      <w:r>
        <w:t>Benchmark: the meaningful benchmark carries no computed comparison (cited, series not in the record: no comparison computed) (benchmark selection)</w:t>
      </w:r>
    </w:p>
    <w:p>
      <w:pPr>
        <w:pStyle w:val="ListBullet"/>
      </w:pPr>
      <w:r>
        <w:t>Peer comparison: composite refused, members report on different year ends and no member has a series that builds a common calendar period (StepStone Private Markets fiscal years to month 03, KKR Private Equity Conglomerate LLC calendar years, Ares Private Markets Fund fiscal years to month 03, AMG Pantheon Fund, LLC fiscal years to month 03, Hamilton Lane Private Assets Fund fiscal years to month 03). A composite needs identical start and end dates for every member (cell 1.12)</w:t>
      </w:r>
    </w:p>
    <w:p>
      <w:pPr>
        <w:pStyle w:val="ListBullet"/>
      </w:pPr>
      <w:r>
        <w:t>Liquidity: structural verdict partial, facts missing: gate_history (cells 3.1, 3.3)</w:t>
      </w:r>
    </w:p>
    <w:p>
      <w:r>
        <w:t>Evidence coverage: 42 of 42 resolvable, 0 verified, 13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Tark benchmark rubric, 12 points, threshold 7 of 12, strategy gate, affiliated providers ineligible. Max attainable by an eligible candidate on held data 9/12.</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Meaningful benchmark (paragraph (k))</w:t>
            </w:r>
          </w:p>
        </w:tc>
        <w:tc>
          <w:tcPr>
            <w:tcW w:type="dxa" w:w="3456"/>
          </w:tcPr>
          <w:p>
            <w:r>
              <w:t>Cambridge Associates US PE benchmark</w:t>
            </w:r>
          </w:p>
        </w:tc>
        <w:tc>
          <w:tcPr>
            <w:tcW w:type="dxa" w:w="864"/>
          </w:tcPr>
          <w:p>
            <w:r>
              <w:t>9/12</w:t>
            </w:r>
          </w:p>
        </w:tc>
        <w:tc>
          <w:tcPr>
            <w:tcW w:type="dxa" w:w="3888"/>
          </w:tcPr>
          <w:p>
            <w:r>
              <w:t>selected, no comparison computed: cited, series not in the record: no comparison computed</w:t>
            </w:r>
          </w:p>
        </w:tc>
      </w:tr>
      <w:tr>
        <w:tc>
          <w:tcPr>
            <w:tcW w:type="dxa" w:w="1152"/>
          </w:tcPr>
          <w:p>
            <w:r>
              <w:t>reference, not the benchmark</w:t>
            </w:r>
          </w:p>
        </w:tc>
        <w:tc>
          <w:tcPr>
            <w:tcW w:type="dxa" w:w="3456"/>
          </w:tcPr>
          <w:p>
            <w:r>
              <w:t>Listed private equity investable proxy (PSP)</w:t>
            </w:r>
          </w:p>
        </w:tc>
        <w:tc>
          <w:tcPr>
            <w:tcW w:type="dxa" w:w="864"/>
          </w:tcPr>
          <w:p>
            <w:r>
              <w:t>8/12</w:t>
            </w:r>
          </w:p>
        </w:tc>
        <w:tc>
          <w:tcPr>
            <w:tcW w:type="dxa" w:w="3888"/>
          </w:tcPr>
          <w:p>
            <w:r>
              <w:t>KS-PME 1.9565, Direct Alpha 14.37%/yr, 2021-03-31 to 2026-03-31</w:t>
            </w:r>
          </w:p>
        </w:tc>
      </w:tr>
      <w:tr>
        <w:tc>
          <w:tcPr>
            <w:tcW w:type="dxa" w:w="1152"/>
          </w:tcPr>
          <w:p>
            <w:r>
              <w:t>SEC-required comparator</w:t>
            </w:r>
          </w:p>
        </w:tc>
        <w:tc>
          <w:tcPr>
            <w:tcW w:type="dxa" w:w="3456"/>
          </w:tcPr>
          <w:p>
            <w:r>
              <w:t>S&amp;P 500 Index</w:t>
            </w:r>
          </w:p>
        </w:tc>
        <w:tc>
          <w:tcPr>
            <w:tcW w:type="dxa" w:w="864"/>
          </w:tcPr>
          <w:p>
            <w:r/>
          </w:p>
        </w:tc>
        <w:tc>
          <w:tcPr>
            <w:tcW w:type="dxa" w:w="3888"/>
          </w:tcPr>
          <w:p>
            <w:r>
              <w:t>held, scored 7/12, fails the strategy gate (strategy_match 1/3). KS-PME 1.1603, Direct Alpha 3.02%/yr, 2021-03-31 to 2026-03-31</w:t>
            </w:r>
          </w:p>
        </w:tc>
      </w:tr>
      <w:tr>
        <w:tc>
          <w:tcPr>
            <w:tcW w:type="dxa" w:w="1152"/>
          </w:tcPr>
          <w:p>
            <w:r>
              <w:t>SEC-required comparator</w:t>
            </w:r>
          </w:p>
        </w:tc>
        <w:tc>
          <w:tcPr>
            <w:tcW w:type="dxa" w:w="3456"/>
          </w:tcPr>
          <w:p>
            <w:r>
              <w:t>MSCI World Index</w:t>
            </w:r>
          </w:p>
        </w:tc>
        <w:tc>
          <w:tcPr>
            <w:tcW w:type="dxa" w:w="864"/>
          </w:tcPr>
          <w:p>
            <w:r/>
          </w:p>
        </w:tc>
        <w:tc>
          <w:tcPr>
            <w:tcW w:type="dxa" w:w="3888"/>
          </w:tcPr>
          <w:p>
            <w:r>
              <w:t>held, scored 7/12, fails the strategy gate (strategy_match 1/3). KS-PME 1.2386, Direct Alpha 4.37%/yr, 2021-03-31 to 2026-03-31</w:t>
            </w:r>
          </w:p>
        </w:tc>
      </w:tr>
      <w:tr>
        <w:tc>
          <w:tcPr>
            <w:tcW w:type="dxa" w:w="1152"/>
          </w:tcPr>
          <w:p>
            <w:r>
              <w:t>Peer comparison (paragraphs (g) and (h))</w:t>
            </w:r>
          </w:p>
        </w:tc>
        <w:tc>
          <w:tcPr>
            <w:tcW w:type="dxa" w:w="3456"/>
          </w:tcPr>
          <w:p>
            <w:r>
              <w:t>Peer composite, evergreen private equity cohort without Hamilton Lane Private Assets Fund</w:t>
            </w:r>
          </w:p>
        </w:tc>
        <w:tc>
          <w:tcPr>
            <w:tcW w:type="dxa" w:w="864"/>
          </w:tcPr>
          <w:p>
            <w:r>
              <w:t>not scored</w:t>
            </w:r>
          </w:p>
        </w:tc>
        <w:tc>
          <w:tcPr>
            <w:tcW w:type="dxa" w:w="3888"/>
          </w:tcPr>
          <w:p>
            <w:r>
              <w:t>composite refused: members report on different year ends and no member has a series that builds a common calendar period (StepStone Private Markets fiscal years to month 03, KKR Private Equity Conglomerate LLC calendar years, Ares Private Markets Fund fiscal years to month 03, AMG Pantheon Fund, LLC fiscal years to month 03, Hamilton Lane Private Assets Fund fiscal years to month 03). A composite needs identical start and end dates for every member</w:t>
            </w:r>
          </w:p>
        </w:tc>
      </w:tr>
      <w:tr>
        <w:tc>
          <w:tcPr>
            <w:tcW w:type="dxa" w:w="1152"/>
          </w:tcPr>
          <w:p>
            <w:r>
              <w:t>rejected</w:t>
            </w:r>
          </w:p>
        </w:tc>
        <w:tc>
          <w:tcPr>
            <w:tcW w:type="dxa" w:w="3456"/>
          </w:tcPr>
          <w:p>
            <w:r>
              <w:t>Listed private equity investable proxy (PSP)</w:t>
            </w:r>
          </w:p>
        </w:tc>
        <w:tc>
          <w:tcPr>
            <w:tcW w:type="dxa" w:w="864"/>
          </w:tcPr>
          <w:p>
            <w:r>
              <w:t>8/12</w:t>
            </w:r>
          </w:p>
        </w:tc>
        <w:tc>
          <w:tcPr>
            <w:tcW w:type="dxa" w:w="3888"/>
          </w:tcPr>
          <w:p>
            <w:r>
              <w:t>ranked below the selected candidate: 8/12 vs 9/12 for Cambridge PE benchmark</w:t>
            </w:r>
          </w:p>
        </w:tc>
      </w:tr>
      <w:tr>
        <w:tc>
          <w:tcPr>
            <w:tcW w:type="dxa" w:w="1152"/>
          </w:tcPr>
          <w:p>
            <w:r>
              <w:t>rejected</w:t>
            </w:r>
          </w:p>
        </w:tc>
        <w:tc>
          <w:tcPr>
            <w:tcW w:type="dxa" w:w="3456"/>
          </w:tcPr>
          <w:p>
            <w:r>
              <w:t>MSCI World investable proxy (URTH)</w:t>
            </w:r>
          </w:p>
        </w:tc>
        <w:tc>
          <w:tcPr>
            <w:tcW w:type="dxa" w:w="864"/>
          </w:tcPr>
          <w:p>
            <w:r>
              <w:t>7/12</w:t>
            </w:r>
          </w:p>
        </w:tc>
        <w:tc>
          <w:tcPr>
            <w:tcW w:type="dxa" w:w="3888"/>
          </w:tcPr>
          <w:p>
            <w:r>
              <w:t>rejected: strategy gate (score 7/12 but strategy_match 1/3)</w:t>
            </w:r>
          </w:p>
        </w:tc>
      </w:tr>
      <w:tr>
        <w:tc>
          <w:tcPr>
            <w:tcW w:type="dxa" w:w="1152"/>
          </w:tcPr>
          <w:p>
            <w:r>
              <w:t>rejected</w:t>
            </w:r>
          </w:p>
        </w:tc>
        <w:tc>
          <w:tcPr>
            <w:tcW w:type="dxa" w:w="3456"/>
          </w:tcPr>
          <w:p>
            <w:r>
              <w:t>S&amp;P 500 investable proxy (SPY)</w:t>
            </w:r>
          </w:p>
        </w:tc>
        <w:tc>
          <w:tcPr>
            <w:tcW w:type="dxa" w:w="864"/>
          </w:tcPr>
          <w:p>
            <w:r>
              <w:t>7/12</w:t>
            </w:r>
          </w:p>
        </w:tc>
        <w:tc>
          <w:tcPr>
            <w:tcW w:type="dxa" w:w="3888"/>
          </w:tcPr>
          <w:p>
            <w:r>
              <w:t>rejected: strategy gate (score 7/12 but strategy_match 1/3)</w:t>
            </w:r>
          </w:p>
        </w:tc>
      </w:tr>
    </w:tbl>
    <w:p>
      <w:pPr>
        <w:pStyle w:val="Heading1"/>
      </w:pPr>
      <w:r>
        <w:t>Exhibit B. Liquidity match for this plan</w:t>
      </w:r>
    </w:p>
    <w:p>
      <w:r>
        <w:t>Plan: US industrial manufacturer 401(k) plan (~$0.8B, OH).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PARTIAL</w:t>
      </w:r>
    </w:p>
    <w:p>
      <w:pPr>
        <w:pStyle w:val="ListBullet"/>
      </w:pPr>
      <w:r>
        <w:t>STRUCTURAL GAP: a participant-directed 404(c) menu assumes daily pricing and daily participant liquidity, whereas this wrapper deals quarterly with a 5% cap per quarter on net assets. Direct DIA use requires a bridging structure: CIT sleeve, managed account, or TDF sleeve (cell 3.5).</w:t>
      </w:r>
    </w:p>
    <w:p>
      <w:pPr>
        <w:pStyle w:val="ListBullet"/>
      </w:pPr>
      <w:r>
        <w:t>Facts missing for a structural verdict: gate_history (offer continuity since Q2-2021 evidenced. Per-offer proration incidence not printed in on-disk filings). The verdict stays partial until they are typed from the filings.</w:t>
      </w:r>
    </w:p>
    <w:p>
      <w:pPr>
        <w:pStyle w:val="ListBullet"/>
      </w:pPr>
      <w:r>
        <w:t>Early repurchase economics: 2% if held &lt; 1 year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tender-offer fund</w:t>
            </w:r>
          </w:p>
        </w:tc>
        <w:tc>
          <w:tcPr>
            <w:tcW w:type="dxa" w:w="1152"/>
          </w:tcPr>
          <w:p>
            <w:r>
              <w:t>3.1</w:t>
            </w:r>
          </w:p>
        </w:tc>
      </w:tr>
      <w:tr>
        <w:tc>
          <w:tcPr>
            <w:tcW w:type="dxa" w:w="2448"/>
          </w:tcPr>
          <w:p>
            <w:r>
              <w:t>Dealing terms</w:t>
            </w:r>
          </w:p>
        </w:tc>
        <w:tc>
          <w:tcPr>
            <w:tcW w:type="dxa" w:w="5760"/>
          </w:tcPr>
          <w:p>
            <w:r>
              <w:t>quarterly offers, 5% cap per quarter on net assets</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not typed: offer continuity since Q2-2021 evidenced. Per-offer proration incidence not printed in on-disk filings</w:t>
            </w:r>
          </w:p>
        </w:tc>
        <w:tc>
          <w:tcPr>
            <w:tcW w:type="dxa" w:w="1152"/>
          </w:tcPr>
          <w:p>
            <w:r>
              <w:t>3.3</w:t>
            </w:r>
          </w:p>
        </w:tc>
      </w:tr>
      <w:tr>
        <w:tc>
          <w:tcPr>
            <w:tcW w:type="dxa" w:w="2448"/>
          </w:tcPr>
          <w:p>
            <w:r>
              <w:t>Repurchase program status</w:t>
            </w:r>
          </w:p>
        </w:tc>
        <w:tc>
          <w:tcPr>
            <w:tcW w:type="dxa" w:w="5760"/>
          </w:tcPr>
          <w:p>
            <w:r>
              <w:t>not typed: no suspension language in 3.1 or 3.3 as of 2026-03-31</w:t>
            </w:r>
          </w:p>
        </w:tc>
        <w:tc>
          <w:tcPr>
            <w:tcW w:type="dxa" w:w="1152"/>
          </w:tcPr>
          <w:p>
            <w:r>
              <w:t>3.1</w:t>
            </w:r>
          </w:p>
        </w:tc>
      </w:tr>
      <w:tr>
        <w:tc>
          <w:tcPr>
            <w:tcW w:type="dxa" w:w="2448"/>
          </w:tcPr>
          <w:p>
            <w:r>
              <w:t>Early repurchase fee</w:t>
            </w:r>
          </w:p>
        </w:tc>
        <w:tc>
          <w:tcPr>
            <w:tcW w:type="dxa" w:w="5760"/>
          </w:tcPr>
          <w:p>
            <w:r>
              <w:t>2% if held &lt; 1 year (2.7)</w:t>
            </w:r>
          </w:p>
        </w:tc>
        <w:tc>
          <w:tcPr>
            <w:tcW w:type="dxa" w:w="1152"/>
          </w:tcPr>
          <w:p>
            <w:r>
              <w:t>2.7</w:t>
            </w:r>
          </w:p>
        </w:tc>
      </w:tr>
      <w:tr>
        <w:tc>
          <w:tcPr>
            <w:tcW w:type="dxa" w:w="2448"/>
          </w:tcPr>
          <w:p>
            <w:r>
              <w:t>Fund net assets (for the dollar capacity)</w:t>
            </w:r>
          </w:p>
        </w:tc>
        <w:tc>
          <w:tcPr>
            <w:tcW w:type="dxa" w:w="5760"/>
          </w:tcPr>
          <w:p>
            <w:r>
              <w:t>$5.8B</w:t>
            </w:r>
          </w:p>
        </w:tc>
        <w:tc>
          <w:tcPr>
            <w:tcW w:type="dxa" w:w="1152"/>
          </w:tcPr>
          <w:p>
            <w:r>
              <w:t>3.4</w:t>
            </w:r>
          </w:p>
        </w:tc>
      </w:tr>
    </w:tbl>
    <w:p>
      <w:pPr>
        <w:pStyle w:val="Heading2"/>
      </w:pPr>
      <w:r>
        <w:t>Scenario (ILLUSTRATIVE, this plan)</w:t>
      </w:r>
    </w:p>
    <w:p>
      <w:r>
        <w:t>Plan inputs (Form 5500): net assets $791.7M, liquidity tail 14.9% of accounts (1,136 separated participants with balances), filed outflow proxy 11.5%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$39.6M): $4.6M/yr = 11.5% of the position per year vs annual wrapper capacity 20%.</w:t>
      </w:r>
    </w:p>
    <w:p>
      <w:r>
        <w:t>Slider assumption (adjustable on the site, not a fact): tail turnover 20%/yr, active turnover 5%/yr, 7.2% of the position per year = $2.9M/yr, shown beside the filed rate, not blended with it.</w:t>
      </w:r>
    </w:p>
    <w:p>
      <w:r>
        <w:t>Stressed (the filed outflow proxy plus the increment the sliders add under stress (tail turnover x2, active turnover x1.5 over the slider assumption)): demand $6.6M/yr = 16.6% of the position. within wrapper capacity (16.6% vs 20%) IF offers are not prorated.</w:t>
      </w:r>
    </w:p>
    <w:p>
      <w:r>
        <w:t>Fund capacity in dollars: $1.2B per year (20% of $5.8B net assets, cell 3.4). The plan's demand at the filed rate is $4.6M per year, 0.39% of that capacity, a claim shared with every other holder.</w:t>
      </w:r>
    </w:p>
    <w:p>
      <w:r>
        <w:t>Scenario verdict (ILLUSTRATIVE, this plan): CONDITIONAL.</w:t>
      </w:r>
    </w:p>
    <w:p>
      <w:pPr>
        <w:pStyle w:val="ListBullet"/>
      </w:pPr>
      <w:r>
        <w:t>Capacity: 5% per quarter on net assets: at most 20% of the position per year. This is a FUND-level cap shared by every holder, so the plan's position is served only while offers are not oversubscribed.</w:t>
      </w:r>
    </w:p>
    <w:p>
      <w:pPr>
        <w:pStyle w:val="ListBullet"/>
      </w:pPr>
      <w:r>
        <w:t>Filed outflow proxy (Schedule H, plan year 2024-01-01 to 2024-12-31): 11.5%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7.2% of the position per year vs 20% annual wrapper capacity, from tail turnover 20%/yr on the 14.9% of accounts that are separated and active turnover 5%/yr on the rest. Shown beside the filed rate, not blended with it. Within 60% of wrapper capacity at these sliders.</w:t>
      </w:r>
    </w:p>
    <w:p>
      <w:pPr>
        <w:pStyle w:val="ListBullet"/>
      </w:pPr>
      <w:r>
        <w:t>Fund capacity in dollars: 20% of $5.8B net assets (cell 3.4) is $1.2B per year. At a 5% allocation ($39.6M) the plan's demand at the filed rate is $4.6M per year, 0.39% of that capacity. The cap is shared by every holder, so this is the plan's own claim on it, not the fund's total demand. The allocation moves these dollar figures and this share, never the percent-of-position ladder.</w:t>
      </w:r>
    </w:p>
    <w:p>
      <w:pPr>
        <w:pStyle w:val="ListBullet"/>
      </w:pPr>
      <w:r>
        <w:t>Scenario verdict (ILLUSTRATIVE, this plan): conditional. Misaligned when the filed outflow proxy exceeds the annual wrapper capacity, conditional-weak when the stressed demand exceeds it, conditional otherwise. It moves with the plan's filing and the sliders.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sliders are the stress around it.</w:t>
      </w:r>
    </w:p>
    <w:p>
      <w:r>
        <w:t>Cited: cell 2.7, cell 3.1, cell 3.3, cell 3.4, cell 3.7, plan: plan_manufacturer_union.json (Form 5500, plan year 2024-01-01 to 2024-12-31).</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1.40% on managed assets (leverage-inclusive)</w:t>
            </w:r>
          </w:p>
        </w:tc>
        <w:tc>
          <w:tcPr>
            <w:tcW w:type="dxa" w:w="2880"/>
          </w:tcPr>
          <w:p>
            <w:r>
              <w:t>extracted-unverified</w:t>
            </w:r>
          </w:p>
        </w:tc>
      </w:tr>
      <w:tr>
        <w:tc>
          <w:tcPr>
            <w:tcW w:type="dxa" w:w="2880"/>
          </w:tcPr>
          <w:p>
            <w:r>
              <w:t>2.2 Incentive fee terms</w:t>
            </w:r>
          </w:p>
        </w:tc>
        <w:tc>
          <w:tcPr>
            <w:tcW w:type="dxa" w:w="3600"/>
          </w:tcPr>
          <w:p>
            <w:r>
              <w:t>incentive fee: 10%</w:t>
            </w:r>
          </w:p>
        </w:tc>
        <w:tc>
          <w:tcPr>
            <w:tcW w:type="dxa" w:w="2880"/>
          </w:tcPr>
          <w:p>
            <w:r>
              <w:t>extracted-unverified</w:t>
            </w:r>
          </w:p>
        </w:tc>
      </w:tr>
      <w:tr>
        <w:tc>
          <w:tcPr>
            <w:tcW w:type="dxa" w:w="2880"/>
          </w:tcPr>
          <w:p>
            <w:r>
              <w:t>2.3 Total expense ratio &amp; waivers</w:t>
            </w:r>
          </w:p>
        </w:tc>
        <w:tc>
          <w:tcPr>
            <w:tcW w:type="dxa" w:w="3600"/>
          </w:tcPr>
          <w:p>
            <w:r>
              <w:t>3.40% expense ratio, net, including the incentive fee, AFFE excluded (FY2026, Class I)</w:t>
            </w:r>
          </w:p>
        </w:tc>
        <w:tc>
          <w:tcPr>
            <w:tcW w:type="dxa" w:w="2880"/>
          </w:tcPr>
          <w:p>
            <w:r>
              <w:t>extracted-unverified</w:t>
            </w:r>
          </w:p>
        </w:tc>
      </w:tr>
      <w:tr>
        <w:tc>
          <w:tcPr>
            <w:tcW w:type="dxa" w:w="2880"/>
          </w:tcPr>
          <w:p>
            <w:r>
              <w:t>2.4 AFFE</w:t>
            </w:r>
          </w:p>
        </w:tc>
        <w:tc>
          <w:tcPr>
            <w:tcW w:type="dxa" w:w="3600"/>
          </w:tcPr>
          <w:p>
            <w:r>
              <w:t>AFFE 0.49%</w:t>
            </w:r>
          </w:p>
        </w:tc>
        <w:tc>
          <w:tcPr>
            <w:tcW w:type="dxa" w:w="2880"/>
          </w:tcPr>
          <w:p>
            <w:r>
              <w:t>extracted-unverified</w:t>
            </w:r>
          </w:p>
        </w:tc>
      </w:tr>
      <w:tr>
        <w:tc>
          <w:tcPr>
            <w:tcW w:type="dxa" w:w="2880"/>
          </w:tcPr>
          <w:p>
            <w:r>
              <w:t>2.6 Loads &amp; servicing fees</w:t>
            </w:r>
          </w:p>
        </w:tc>
        <w:tc>
          <w:tcPr>
            <w:tcW w:type="dxa" w:w="3600"/>
          </w:tcPr>
          <w:p>
            <w:r>
              <w:t>no typed fact for this cell</w:t>
            </w:r>
          </w:p>
        </w:tc>
        <w:tc>
          <w:tcPr>
            <w:tcW w:type="dxa" w:w="2880"/>
          </w:tcPr>
          <w:p>
            <w:r>
              <w:t>extracted-unverified</w:t>
            </w:r>
          </w:p>
        </w:tc>
      </w:tr>
      <w:tr>
        <w:tc>
          <w:tcPr>
            <w:tcW w:type="dxa" w:w="2880"/>
          </w:tcPr>
          <w:p>
            <w:r>
              <w:t>2.7 Early repurchase fee</w:t>
            </w:r>
          </w:p>
        </w:tc>
        <w:tc>
          <w:tcPr>
            <w:tcW w:type="dxa" w:w="3600"/>
          </w:tcPr>
          <w:p>
            <w:r>
              <w:t>early repurchase fee: 2% &lt; 1 year</w:t>
            </w:r>
          </w:p>
        </w:tc>
        <w:tc>
          <w:tcPr>
            <w:tcW w:type="dxa" w:w="2880"/>
          </w:tcPr>
          <w:p>
            <w:r>
              <w:t>extracted-unverified</w:t>
            </w:r>
          </w:p>
        </w:tc>
      </w:tr>
      <w:tr>
        <w:tc>
          <w:tcPr>
            <w:tcW w:type="dxa" w:w="2880"/>
          </w:tcPr>
          <w:p>
            <w:r>
              <w:t>6.4 Tax reporting (1099 vs K-1)</w:t>
            </w:r>
          </w:p>
        </w:tc>
        <w:tc>
          <w:tcPr>
            <w:tcW w:type="dxa" w:w="3600"/>
          </w:tcPr>
          <w:p>
            <w:r>
              <w:t>Form 1099</w:t>
            </w:r>
          </w:p>
        </w:tc>
        <w:tc>
          <w:tcPr>
            <w:tcW w:type="dxa" w:w="2880"/>
          </w:tcPr>
          <w:p>
            <w:r>
              <w:t>extracted-unverified</w:t>
            </w:r>
          </w:p>
        </w:tc>
      </w:tr>
    </w:tbl>
    <w:p>
      <w:pPr>
        <w:pStyle w:val="Heading1"/>
      </w:pPr>
      <w:r>
        <w:t>Exhibit D. Peer cohort placement</w:t>
      </w:r>
    </w:p>
    <w:p>
      <w:r>
        <w:t>Cohort Evergreen private equity ('40-Act funds + '34-Act conglomerate) (n=5). Evergreen PE fund-of-funds/secondaries in a tender-offer wrapper - founding cohort member.</w:t>
      </w:r>
    </w:p>
    <w:p>
      <w:r>
        <w:t>Cohort placement (evergreen private equity cohort): mgmt fee: 50th percentile of cohort (n=5), at the median of 1.4 | expense ratio (bases differ, see notes): 70th percentile of cohort (n=5), above the median of 3.19 | repurchase cap: 50th percentile of cohort (n=5), at the median of 5. Statistics and per-member values are in the cohort artifact, membership rationales in the typed facts.</w:t>
      </w:r>
    </w:p>
    <w:p>
      <w:pPr>
        <w:pStyle w:val="ListBullet"/>
      </w:pPr>
      <w:r>
        <w:t>LEVERAGE-REGIME MIX: BDC 150% coverage and non-1940-Act wrappers allow materially more leverage than 1940-Act funds. Fee bases and return volatility are not like-for-like. [typed per product: amg_pantheon: 1940-Act asset-coverage limits, ares_pmf: 1940-Act asset-coverage limits, hl_paf: 1940-Act asset-coverage limits, kkr_kpec: no 1940-Act leverage limits (34-Act conglomerate), stepstone_spm: 1940-Act asset-coverage limits]</w:t>
      </w:r>
    </w:p>
    <w:p>
      <w:pPr>
        <w:pStyle w:val="ListBullet"/>
      </w:pPr>
      <w:r>
        <w:t>LIQUIDITY-LAW MIX: Rule 23c-3 obligations, discretionary tenders, and repurchase plans give different worst-case exit rights. Cadence numbers alone overstate comparability. [by wrapper type: amg_pantheon: board-DISCRETIONARY tender offers (nothing compels the next one), ares_pmf: board-DISCRETIONARY tender offers (nothing compels the next one), hl_paf: board-DISCRETIONARY tender offers (nothing compels the next one), kkr_kpec: board-discretionary share repurchases, stepstone_spm: board-DISCRETIONARY tender offers (nothing compels the next one)]</w:t>
      </w:r>
    </w:p>
    <w:p>
      <w:pPr>
        <w:pStyle w:val="ListBullet"/>
      </w:pPr>
      <w:r>
        <w:t>kkr_kpec joins under the authorized fallback: its structural twins are Reg D vehicles with no public filings (data/roster_decisions.md - 'The kkr_kpec ruling'). Cross-wrapper caveats apply.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industrial manufacturer 401(k) plan (~$0.8B, OH).</w:t>
      </w:r>
    </w:p>
    <w:p>
      <w:pPr>
        <w:pStyle w:val="Heading1"/>
      </w:pPr>
      <w:r>
        <w:t>Provenance</w:t>
      </w:r>
    </w:p>
    <w:p>
      <w:r>
        <w:t>Cell status for this product: structured 0, extracted-unverified 28, verified 0, computed 11, partial 2, fetched 1, n/a 13,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The plan is shown under its anonymized label.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