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Blue Owl Credit Income Corp. (perpetual-life non-traded BDC (quarterly 13e-4 tenders), CIK 1812554)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Cliffwater Direct Lending Index (CDLI) at 9/12, no comparison computed (cited, series not in the record: no comparison computed).</w:t>
      </w:r>
    </w:p>
    <w:p>
      <w:r>
        <w:t>Reference comparison, not the meaningful benchmark: Senior loan investable proxy (BKLN, for Morningstar LSTA class), KS-PME 1.1541, Direct Alpha 2.91%/yr over 2021-01-01 to 2025-12-31.</w:t>
      </w:r>
    </w:p>
    <w:p>
      <w:r>
        <w:t>Peer comparison (paragraphs (g) and (h)): relative wealth ratio 1.0127, annualized excess return 0.25%/yr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Liquidity: structural verdict partial, facts missing: gate_history (cells 3.1, 3.3)</w:t>
      </w:r>
    </w:p>
    <w:p>
      <w:r>
        <w:t>Evidence coverage: 46 of 46 resolvable, 0 verified, 9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1.1541, Direct Alpha 2.91%/yr, 2021-01-01 to 2025-12-31</w:t>
            </w:r>
          </w:p>
        </w:tc>
      </w:tr>
      <w:tr>
        <w:tc>
          <w:tcPr>
            <w:tcW w:type="dxa" w:w="1152"/>
          </w:tcPr>
          <w:p>
            <w:r>
              <w:t>Peer comparison (paragraphs (g) and (h))</w:t>
            </w:r>
          </w:p>
        </w:tc>
        <w:tc>
          <w:tcPr>
            <w:tcW w:type="dxa" w:w="3456"/>
          </w:tcPr>
          <w:p>
            <w:r>
              <w:t>Peer composite, private credit cohort without Blue Owl Credit Income Corp.</w:t>
            </w:r>
          </w:p>
        </w:tc>
        <w:tc>
          <w:tcPr>
            <w:tcW w:type="dxa" w:w="864"/>
          </w:tcPr>
          <w:p>
            <w:r>
              <w:t>not scored</w:t>
            </w:r>
          </w:p>
        </w:tc>
        <w:tc>
          <w:tcPr>
            <w:tcW w:type="dxa" w:w="3888"/>
          </w:tcPr>
          <w:p>
            <w:r>
              <w:t>relative wealth ratio 1.0127, annualized excess return 0.25%/yr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ranked below the selected candidate: 8/12 vs 9/12 for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$19.8B</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$4.0B per year (20% of approx. $19.8B net assets, cell 3.6). The plan's demand at the filed rate is $4.6M per year, 0.12%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Fund capacity in dollars: 20% of approx. $19.8B net assets (cell 3.6) is $4.0B per year. At a 5% allocation ($39.6M) the plan's demand at the filed rate is $4.6M per year, 0.12%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c>
          <w:tcPr>
            <w:tcW w:type="dxa" w:w="2880"/>
          </w:tcPr>
          <w:p>
            <w:r>
              <w:t>2.4 AFFE</w:t>
            </w:r>
          </w:p>
        </w:tc>
        <w:tc>
          <w:tcPr>
            <w:tcW w:type="dxa" w:w="3600"/>
          </w:tcPr>
          <w:p>
            <w:r>
              <w:t>AFFE 0.00%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26, verified 0, computed 10, partial 9, fetched 1, n/a 9,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