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(reference, not the benchmark).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Meaningful benchmark (paragraph (k)), NCREIF Fund Index - ODCE (private core RE)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1.12 Peer comparison (paragraphs (g) and (h)) (computed): Peer comparison (paragraphs (g) and (h)): non-traded real estate cohort, peers Blackstone Real Estate Income Trust Inc, JLL Income Property Trust, Inc., fund return basis filed calendar-year returns (December fiscal year).</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3.7 Plan participant liquidity demand (computed, this plan): Plan-side demand profile for this plan (Form 5500, plan year 2024-01-01 to 2024-12-31): 1,136 separated participants with balances = 14.9% of 7,620 accounts (the near-term liquidity tail), 5,878 active, 669 retirees in pay status, filed outflow proxy 11.53% of beginning net assets (Schedule H totals).</w:t>
            </w:r>
          </w:p>
          <w:p>
            <w:r>
              <w:t>3.8 Redemption stress test (computed, this plan): ILLUSTRATIVE redemption stress test for this plan: filed outflow proxy 11.53% of the position, slider assumption 7.2%, stressed demand 16.6% vs 0% annual wrapper capacity, EXCEEDS annual wrapper capacity (16.6% vs 0%). Unmet demand rolls into later windows (gating-equivalent outcome). Source: this plan's liquidity match.</w:t>
            </w:r>
          </w:p>
          <w:p>
            <w:r>
              <w:t>3.9 Product-to-plan liquidity match (computed, this plan): Structural liquidity verdict MISALIGNED (typed facts, plan-independent). Scenario verdict under this plan (ILLUSTRATIVE): MISALIGNED.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NFI-ODCE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series Listed REIT investable proxy (VNQ), reference comparison, not the meaningful benchmark):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NCREIF Fund Index - ODCE (private core RE) (score 9/12)</w:t>
      </w:r>
    </w:p>
    <w:p>
      <w:r>
        <w:t>Comparison not computed: cited, series not in the record: no comparison computed. The candidate is selected on its own descriptors. No number is substituted.</w:t>
      </w:r>
    </w:p>
    <w:p>
      <w:pPr>
        <w:pStyle w:val="ListBullet"/>
      </w:pPr>
      <w:r>
        <w:t>strategy_match 3/3: a private-market index of real estate for a core-plus non-traded real estate fund</w:t>
      </w:r>
    </w:p>
    <w:p>
      <w:pPr>
        <w:pStyle w:val="ListBullet"/>
      </w:pPr>
      <w:r>
        <w:t>risk_liquidity_match 2/3: appraisal-based index of periodically dealt funds (monthly dealing at NAV under 0% cap per month, repurchases suspended). The constituents' leverage regime is not typed in the record, so the full match is not claimed</w:t>
      </w:r>
    </w:p>
    <w:p>
      <w:pPr>
        <w:pStyle w:val="ListBullet"/>
      </w:pPr>
      <w:r>
        <w:t>provider_independence 2/2: provider unaffiliated with the fund (NCREIF):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Listed REIT investable proxy (VNQ)</w:t>
      </w:r>
    </w:p>
    <w:p>
      <w:r>
        <w:t>Reference comparison on the highest-ranked held public market series: not the meaningful benchmark.</w:t>
      </w:r>
    </w:p>
    <w:p>
      <w:r>
        <w:t>Window 2024-12-31 to 2025-12-31: fund -2.4%/yr (filed calendar-year returns (December fiscal year)) vs the public series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SREIT declares no benchmark index anywhere in the FY2025 10-K.</w:t>
      </w:r>
    </w:p>
    <w:p>
      <w:pPr>
        <w:pStyle w:val="Heading2"/>
      </w:pPr>
      <w:r>
        <w:t>Peer comparison (paragraphs (g) and (h)): non-traded real estate cohort</w:t>
      </w:r>
    </w:p>
    <w:p>
      <w:r>
        <w:t>Peers: Blackstone Real Estate Income Trust Inc, JLL Income Property Trust, Inc.. This is the history of similar investments, not the benchmark, and it is never a public market equivalent.</w:t>
      </w:r>
    </w:p>
    <w:p>
      <w:r>
        <w:t>Composite refused: fewer than 3 peers remain after leaving Starwood Real Estate Income Trust, Inc. out (2: Blackstone Real Estate Income Trust Inc, JLL Income Property Trust, Inc.).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Starwood Real Estate Income Trust, Inc.</w:t>
            </w:r>
          </w:p>
        </w:tc>
        <w:tc>
          <w:tcPr>
            <w:tcW w:type="dxa" w:w="1872"/>
          </w:tcPr>
          <w:p>
            <w:r>
              <w:t>Blackstone Real Estate Income Trust Inc</w:t>
            </w:r>
          </w:p>
        </w:tc>
        <w:tc>
          <w:tcPr>
            <w:tcW w:type="dxa" w:w="1872"/>
          </w:tcPr>
          <w:p>
            <w:r>
              <w:t>JLL Income Property Trust, Inc.</w:t>
            </w:r>
          </w:p>
        </w:tc>
      </w:tr>
      <w:tr>
        <w:tc>
          <w:tcPr>
            <w:tcW w:type="dxa" w:w="1872"/>
          </w:tcPr>
          <w:p>
            <w:r>
              <w:t>2023</w:t>
            </w:r>
          </w:p>
        </w:tc>
        <w:tc>
          <w:tcPr>
            <w:tcW w:type="dxa" w:w="1872"/>
          </w:tcPr>
          <w:p>
            <w:r>
              <w:t>1</w:t>
            </w:r>
          </w:p>
        </w:tc>
        <w:tc>
          <w:tcPr>
            <w:tcW w:type="dxa" w:w="1872"/>
          </w:tcPr>
          <w:p>
            <w:r>
              <w:t>n/a</w:t>
            </w:r>
          </w:p>
        </w:tc>
        <w:tc>
          <w:tcPr>
            <w:tcW w:type="dxa" w:w="1872"/>
          </w:tcPr>
          <w:p>
            <w:r>
              <w:t>-0.5%</w:t>
            </w:r>
          </w:p>
        </w:tc>
        <w:tc>
          <w:tcPr>
            <w:tcW w:type="dxa" w:w="1872"/>
          </w:tcPr>
          <w:p>
            <w:r>
              <w:t>n/a</w:t>
            </w:r>
          </w:p>
        </w:tc>
      </w:tr>
      <w:tr>
        <w:tc>
          <w:tcPr>
            <w:tcW w:type="dxa" w:w="1872"/>
          </w:tcPr>
          <w:p>
            <w:r>
              <w:t>2024</w:t>
            </w:r>
          </w:p>
        </w:tc>
        <w:tc>
          <w:tcPr>
            <w:tcW w:type="dxa" w:w="1872"/>
          </w:tcPr>
          <w:p>
            <w:r>
              <w:t>1</w:t>
            </w:r>
          </w:p>
        </w:tc>
        <w:tc>
          <w:tcPr>
            <w:tcW w:type="dxa" w:w="1872"/>
          </w:tcPr>
          <w:p>
            <w:r>
              <w:t>n/a</w:t>
            </w:r>
          </w:p>
        </w:tc>
        <w:tc>
          <w:tcPr>
            <w:tcW w:type="dxa" w:w="1872"/>
          </w:tcPr>
          <w:p>
            <w:r>
              <w:t>2%</w:t>
            </w:r>
          </w:p>
        </w:tc>
        <w:tc>
          <w:tcPr>
            <w:tcW w:type="dxa" w:w="1872"/>
          </w:tcPr>
          <w:p>
            <w:r>
              <w:t>n/a</w:t>
            </w:r>
          </w:p>
        </w:tc>
      </w:tr>
      <w:tr>
        <w:tc>
          <w:tcPr>
            <w:tcW w:type="dxa" w:w="1872"/>
          </w:tcPr>
          <w:p>
            <w:r>
              <w:t>2025</w:t>
            </w:r>
          </w:p>
        </w:tc>
        <w:tc>
          <w:tcPr>
            <w:tcW w:type="dxa" w:w="1872"/>
          </w:tcPr>
          <w:p>
            <w:r>
              <w:t>2</w:t>
            </w:r>
          </w:p>
        </w:tc>
        <w:tc>
          <w:tcPr>
            <w:tcW w:type="dxa" w:w="1872"/>
          </w:tcPr>
          <w:p>
            <w:r>
              <w:t>-2.4%</w:t>
            </w:r>
          </w:p>
        </w:tc>
        <w:tc>
          <w:tcPr>
            <w:tcW w:type="dxa" w:w="1872"/>
          </w:tcPr>
          <w:p>
            <w:r>
              <w:t>8.1%</w:t>
            </w:r>
          </w:p>
        </w:tc>
        <w:tc>
          <w:tcPr>
            <w:tcW w:type="dxa" w:w="1872"/>
          </w:tcPr>
          <w:p>
            <w:r>
              <w:t>n/a</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one wrapper type (non-traded REIT) and one leverage regime (charter-level borrowing limits, no 1940-Act coverage test).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REIT investable proxy (VNQ)</w:t>
            </w:r>
          </w:p>
        </w:tc>
        <w:tc>
          <w:tcPr>
            <w:tcW w:type="dxa" w:w="1008"/>
          </w:tcPr>
          <w:p>
            <w:r>
              <w:t>8/12</w:t>
            </w:r>
          </w:p>
        </w:tc>
        <w:tc>
          <w:tcPr>
            <w:tcW w:type="dxa" w:w="5472"/>
          </w:tcPr>
          <w:p>
            <w:r>
              <w:t>ranked below the selected candidate: 8/12 vs 9/12 for NFI-ODCE Criteria: strategy_match 2/3: the public-market version of the asset class (listed REITs for core-plus non-traded real estate), risk_liquidity_match 1/3: daily-liquid market series against a semi-liquid NAV fund (monthly dealing at NAV under 0% cap per month, repurchases suspended): volatility and liquidity regimes differ, the PME construct exists for exactly this comparison, provider_independence 2/2: provider unaffiliated with the fund (Vanguard / MSCI US REIT):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EXCEEDS annual wrapper capacity (16.6%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2024-01-01 to 2024-12-31): 11.5%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7.2% of the position per year vs 0% annual wrapper capacity, from tail turnover 20%/yr on the 14.9%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plan_manufacturer_union.json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r>
        <w:t>Cohort composite return: not formed, members report on different year ends (breit: calendar years, sreit: calendar years, jll_ipt: no period returns), so no equal-weight composite return is formed. The table shows each member's own periods with n.</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industrial manufacturer 401(k) plan (~$0.8B, OH) (ILLUSTRATIVE): MISALIGNED.</w:t>
      </w:r>
    </w:p>
    <w:p>
      <w:r>
        <w:t>Meaningful benchmark (paragraph (k)): NCREIF Fund Index - ODCE (private core RE) at 9/12, cited, series not in the record. 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11, partial 6,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1.12</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