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casual-dining restaurant group 401(k) plan (~$1.6B, FL)</w:t>
        <w:br/>
      </w:r>
      <w:r>
        <w:t>Product: Ares Private Markets Fund (tender-offer fund ('40 Act), CIK 1876006)</w:t>
        <w:br/>
      </w:r>
      <w:r>
        <w:t>Record as of 2026-09-04. DRAFT, generated by the build from the record. The decision memo for the same plan and product is a separate document.</w:t>
      </w:r>
    </w:p>
    <w:p>
      <w:pPr>
        <w:pStyle w:val="Heading1"/>
      </w:pPr>
      <w:r>
        <w:t>Summary</w:t>
      </w:r>
    </w:p>
    <w:p>
      <w:r>
        <w:t>Structural liquidity verdict: PARTIAL (typed facts, plan-independent). Scenario verdict under this plan (ILLUSTRATIVE, default sliders): CONDITIONAL.</w:t>
      </w:r>
    </w:p>
    <w:p>
      <w:r>
        <w:t>Meaningful benchmark (paragraph (k)): Cambridge Associates US PE benchmark at 9/12, no comparison computed (cited, series not in the record: no comparison computed).</w:t>
      </w:r>
    </w:p>
    <w:p>
      <w:r>
        <w:t>Reference comparison, not the meaningful benchmark: Listed private equity investable proxy (PSP), KS-PME 1.5712, Direct Alpha 11.97%/yr over 2022-04-01 to 2026-03-31.</w:t>
      </w:r>
    </w:p>
    <w:p>
      <w:r>
        <w:t>Peer comparison (paragraphs (g) and (h)): composite refused, members report on different year ends and no member has a series that builds a common calendar period (Hamilton Lane Private Assets Fund fiscal years to month 03, StepStone Private Markets fiscal years to month 03, KKR Private Equity Conglomerate LLC calendar years, AMG Pantheon Fund, LLC fiscal years to month 03, Ares Private Markets Fund fiscal years to month 03). A composite needs identical start and end dates for every member.</w:t>
      </w:r>
    </w:p>
    <w:p>
      <w:r>
        <w:t>Flags raised by the record (each restates a typed value or verdict, with its source):</w:t>
      </w:r>
    </w:p>
    <w:p>
      <w:pPr>
        <w:pStyle w:val="ListBullet"/>
      </w:pPr>
      <w:r>
        <w:t>Benchmark: the meaningful benchmark carries no computed comparison (cited, series not in the record: no comparison computed) (benchmark selection)</w:t>
      </w:r>
    </w:p>
    <w:p>
      <w:pPr>
        <w:pStyle w:val="ListBullet"/>
      </w:pPr>
      <w:r>
        <w:t>Peer comparison: composite refused, members report on different year ends and no member has a series that builds a common calendar period (Hamilton Lane Private Assets Fund fiscal years to month 03, StepStone Private Markets fiscal years to month 03, KKR Private Equity Conglomerate LLC calendar years, AMG Pantheon Fund, LLC fiscal years to month 03, Ares Private Markets Fund fiscal years to month 03). A composite needs identical start and end dates for every member (cell 1.12)</w:t>
      </w:r>
    </w:p>
    <w:p>
      <w:pPr>
        <w:pStyle w:val="ListBullet"/>
      </w:pPr>
      <w:r>
        <w:t>Liquidity: structural verdict partial, facts missing: gate_history (cells 3.1, 3.3)</w:t>
      </w:r>
    </w:p>
    <w:p>
      <w:r>
        <w:t>Evidence coverage: 42 of 42 resolvable, 0 verified, 13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affiliated providers ineligible. Max attainable by an eligible candidate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Meaningful benchmark (paragraph (k))</w:t>
            </w:r>
          </w:p>
        </w:tc>
        <w:tc>
          <w:tcPr>
            <w:tcW w:type="dxa" w:w="3456"/>
          </w:tcPr>
          <w:p>
            <w:r>
              <w:t>Cambridge Associates US PE benchmark</w:t>
            </w:r>
          </w:p>
        </w:tc>
        <w:tc>
          <w:tcPr>
            <w:tcW w:type="dxa" w:w="864"/>
          </w:tcPr>
          <w:p>
            <w:r>
              <w:t>9/12</w:t>
            </w:r>
          </w:p>
        </w:tc>
        <w:tc>
          <w:tcPr>
            <w:tcW w:type="dxa" w:w="3888"/>
          </w:tcPr>
          <w:p>
            <w:r>
              <w:t>selected, no comparison computed: cited, series not in the record: no comparison computed</w:t>
            </w:r>
          </w:p>
        </w:tc>
      </w:tr>
      <w:tr>
        <w:tc>
          <w:tcPr>
            <w:tcW w:type="dxa" w:w="1152"/>
          </w:tcPr>
          <w:p>
            <w:r>
              <w:t>reference, not the benchmark</w:t>
            </w:r>
          </w:p>
        </w:tc>
        <w:tc>
          <w:tcPr>
            <w:tcW w:type="dxa" w:w="3456"/>
          </w:tcPr>
          <w:p>
            <w:r>
              <w:t>Listed private equity investable proxy (PSP)</w:t>
            </w:r>
          </w:p>
        </w:tc>
        <w:tc>
          <w:tcPr>
            <w:tcW w:type="dxa" w:w="864"/>
          </w:tcPr>
          <w:p>
            <w:r>
              <w:t>8/12</w:t>
            </w:r>
          </w:p>
        </w:tc>
        <w:tc>
          <w:tcPr>
            <w:tcW w:type="dxa" w:w="3888"/>
          </w:tcPr>
          <w:p>
            <w:r>
              <w:t>KS-PME 1.5712, Direct Alpha 11.97%/yr, 2022-04-01 to 2026-03-31</w:t>
            </w:r>
          </w:p>
        </w:tc>
      </w:tr>
      <w:tr>
        <w:tc>
          <w:tcPr>
            <w:tcW w:type="dxa" w:w="1152"/>
          </w:tcPr>
          <w:p>
            <w:r>
              <w:t>SEC-required comparator</w:t>
            </w:r>
          </w:p>
        </w:tc>
        <w:tc>
          <w:tcPr>
            <w:tcW w:type="dxa" w:w="3456"/>
          </w:tcPr>
          <w:p>
            <w:r>
              <w:t>MSCI World Index</w:t>
            </w:r>
          </w:p>
        </w:tc>
        <w:tc>
          <w:tcPr>
            <w:tcW w:type="dxa" w:w="864"/>
          </w:tcPr>
          <w:p>
            <w:r/>
          </w:p>
        </w:tc>
        <w:tc>
          <w:tcPr>
            <w:tcW w:type="dxa" w:w="3888"/>
          </w:tcPr>
          <w:p>
            <w:r>
              <w:t>held, scored 7/12, fails the strategy gate (strategy_match 1/3). KS-PME 1.1283, Direct Alpha 3.07%/yr, 2022-04-01 to 2026-03-31</w:t>
            </w:r>
          </w:p>
        </w:tc>
      </w:tr>
      <w:tr>
        <w:tc>
          <w:tcPr>
            <w:tcW w:type="dxa" w:w="1152"/>
          </w:tcPr>
          <w:p>
            <w:r>
              <w:t>Peer comparison (paragraphs (g) and (h))</w:t>
            </w:r>
          </w:p>
        </w:tc>
        <w:tc>
          <w:tcPr>
            <w:tcW w:type="dxa" w:w="3456"/>
          </w:tcPr>
          <w:p>
            <w:r>
              <w:t>Peer composite, evergreen private equity cohort without Ares Private Markets Fund</w:t>
            </w:r>
          </w:p>
        </w:tc>
        <w:tc>
          <w:tcPr>
            <w:tcW w:type="dxa" w:w="864"/>
          </w:tcPr>
          <w:p>
            <w:r>
              <w:t>not scored</w:t>
            </w:r>
          </w:p>
        </w:tc>
        <w:tc>
          <w:tcPr>
            <w:tcW w:type="dxa" w:w="3888"/>
          </w:tcPr>
          <w:p>
            <w:r>
              <w:t>composite refused: members report on different year ends and no member has a series that builds a common calendar period (Hamilton Lane Private Assets Fund fiscal years to month 03, StepStone Private Markets fiscal years to month 03, KKR Private Equity Conglomerate LLC calendar years, AMG Pantheon Fund, LLC fiscal years to month 03, Ares Private Markets Fund fiscal years to month 03). A composite needs identical start and end dates for every member</w:t>
            </w:r>
          </w:p>
        </w:tc>
      </w:tr>
      <w:tr>
        <w:tc>
          <w:tcPr>
            <w:tcW w:type="dxa" w:w="1152"/>
          </w:tcPr>
          <w:p>
            <w:r>
              <w:t>rejected</w:t>
            </w:r>
          </w:p>
        </w:tc>
        <w:tc>
          <w:tcPr>
            <w:tcW w:type="dxa" w:w="3456"/>
          </w:tcPr>
          <w:p>
            <w:r>
              <w:t>Listed private equity investable proxy (PSP)</w:t>
            </w:r>
          </w:p>
        </w:tc>
        <w:tc>
          <w:tcPr>
            <w:tcW w:type="dxa" w:w="864"/>
          </w:tcPr>
          <w:p>
            <w:r>
              <w:t>8/12</w:t>
            </w:r>
          </w:p>
        </w:tc>
        <w:tc>
          <w:tcPr>
            <w:tcW w:type="dxa" w:w="3888"/>
          </w:tcPr>
          <w:p>
            <w:r>
              <w:t>ranked below the selected candidate: 8/12 vs 9/12 for Cambridge PE benchmark</w:t>
            </w:r>
          </w:p>
        </w:tc>
      </w:tr>
      <w:tr>
        <w:tc>
          <w:tcPr>
            <w:tcW w:type="dxa" w:w="1152"/>
          </w:tcPr>
          <w:p>
            <w:r>
              <w:t>rejected</w:t>
            </w:r>
          </w:p>
        </w:tc>
        <w:tc>
          <w:tcPr>
            <w:tcW w:type="dxa" w:w="3456"/>
          </w:tcPr>
          <w:p>
            <w:r>
              <w:t>MSCI World investable proxy (URTH)</w:t>
            </w:r>
          </w:p>
        </w:tc>
        <w:tc>
          <w:tcPr>
            <w:tcW w:type="dxa" w:w="864"/>
          </w:tcPr>
          <w:p>
            <w:r>
              <w:t>7/12</w:t>
            </w:r>
          </w:p>
        </w:tc>
        <w:tc>
          <w:tcPr>
            <w:tcW w:type="dxa" w:w="3888"/>
          </w:tcPr>
          <w:p>
            <w:r>
              <w:t>rejected: strategy gate (score 7/12 but strategy_match 1/3)</w:t>
            </w:r>
          </w:p>
        </w:tc>
      </w:tr>
    </w:tbl>
    <w:p>
      <w:pPr>
        <w:pStyle w:val="Heading1"/>
      </w:pPr>
      <w:r>
        <w:t>Exhibit B. Liquidity match for this plan</w:t>
      </w:r>
    </w:p>
    <w:p>
      <w:r>
        <w:t>Plan: US casual-dining restaurant group 401(k) plan (~$1.6B, FL).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quarterly with a 5% cap per quarter on net assets. Direct DIA use requires a bridging structure: CIT sleeve, managed account, or TDF sleeve (cell 3.5).</w:t>
      </w:r>
    </w:p>
    <w:p>
      <w:pPr>
        <w:pStyle w:val="ListBullet"/>
      </w:pPr>
      <w:r>
        <w:t>Facts missing for a structural verdict: gate_history (tendered-versus-accepted amounts and proration incidence per offer are not printed (final tender amendments not on disk). Four offers in each of FY2025 and FY2026 establish continuity, not full fills (R2-P1-12 rule)). The verdict stays partial until they are typed from the filings.</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tender-offer fund</w:t>
            </w:r>
          </w:p>
        </w:tc>
        <w:tc>
          <w:tcPr>
            <w:tcW w:type="dxa" w:w="1152"/>
          </w:tcPr>
          <w:p>
            <w:r>
              <w:t>6.1</w:t>
            </w:r>
          </w:p>
        </w:tc>
      </w:tr>
      <w:tr>
        <w:tc>
          <w:tcPr>
            <w:tcW w:type="dxa" w:w="2448"/>
          </w:tcPr>
          <w:p>
            <w:r>
              <w:t>Dealing terms</w:t>
            </w:r>
          </w:p>
        </w:tc>
        <w:tc>
          <w:tcPr>
            <w:tcW w:type="dxa" w:w="5760"/>
          </w:tcPr>
          <w:p>
            <w:r>
              <w:t>quarterly offers, 5% cap per quarter on net assets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tendered-versus-accepted amounts and proration incidence per offer are not printed (final tender amendments not on disk). Four offers in each of FY2025 and FY2026 establish continuity, not full fills (R2-P1-12 rule)</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r>
        <w:tc>
          <w:tcPr>
            <w:tcW w:type="dxa" w:w="2448"/>
          </w:tcPr>
          <w:p>
            <w:r>
              <w:t>Fund net assets (for the dollar capacity)</w:t>
            </w:r>
          </w:p>
        </w:tc>
        <w:tc>
          <w:tcPr>
            <w:tcW w:type="dxa" w:w="5760"/>
          </w:tcPr>
          <w:p>
            <w:r>
              <w:t>not typed: aggregate net assets not yet carried into a typed cell. Verification-queue item</w:t>
            </w:r>
          </w:p>
        </w:tc>
        <w:tc>
          <w:tcPr>
            <w:tcW w:type="dxa" w:w="1152"/>
          </w:tcPr>
          <w:p>
            <w:r>
              <w:t>3.6</w:t>
            </w:r>
          </w:p>
        </w:tc>
      </w:tr>
    </w:tbl>
    <w:p>
      <w:pPr>
        <w:pStyle w:val="Heading2"/>
      </w:pPr>
      <w:r>
        <w:t>Scenario (ILLUSTRATIVE, this plan)</w:t>
      </w:r>
    </w:p>
    <w:p>
      <w:r>
        <w:t>Plan inputs (Form 5500): net assets $1.6B, liquidity tail 28.2% of accounts (12,176 separated participants with balances), filed outflow proxy 10.8% of beginning net assets per year (Schedule H totals of the plan's Form 5500 for plan year 2024-05-01 to 2025-04-30, from the plan record: total expenses less administrative expenses over beginning net assets, an upper bound on benefit payments while Schedule H line 2e is not in the record).</w:t>
      </w:r>
    </w:p>
    <w:p>
      <w:r>
        <w:t>Base demand (filed outflow proxy applied to a 5% allocation = $79.3M): $8.5M/yr = 10.8% of the position per year vs annual wrapper capacity 20%.</w:t>
      </w:r>
    </w:p>
    <w:p>
      <w:r>
        <w:t>Slider assumption (adjustable on the site, not a fact): tail turnover 20%/yr, active turnover 5%/yr, 9.2% of the position per year = $7.3M/yr, shown beside the filed rate, not blended with it.</w:t>
      </w:r>
    </w:p>
    <w:p>
      <w:r>
        <w:t>Stressed (the filed outflow proxy plus the increment the sliders add under stress (tail turnover x2, active turnover x1.5 over the slider assumption)): demand $14.4M/yr = 18.2% of the position. within wrapper capacity (18.2% vs 20%) IF offers are not prorated.</w:t>
      </w:r>
    </w:p>
    <w:p>
      <w:r>
        <w:t>Fund capacity in dollars: not computable, the fund's net assets are not typed in the record (aggregate net assets not yet carried into a typed cell. Verification-queue item), so the plan's dollar demand cannot be set against the fund's dollar capacity and the allocation slider is not shown.</w:t>
      </w:r>
    </w:p>
    <w:p>
      <w:r>
        <w:t>Scenario verdict (ILLUSTRATIVE, this plan): CONDITIONAL.</w:t>
      </w:r>
    </w:p>
    <w:p>
      <w:pPr>
        <w:pStyle w:val="ListBullet"/>
      </w:pPr>
      <w:r>
        <w:t>Capacity: 5% per quarter on net assets: at most 20% of the position per year. This is a FUND-level cap shared by every holder, so the plan's position is served only while offers are not oversubscribed.</w:t>
      </w:r>
    </w:p>
    <w:p>
      <w:pPr>
        <w:pStyle w:val="ListBullet"/>
      </w:pPr>
      <w:r>
        <w:t>Filed outflow proxy (Schedule H, plan year 2024-05-01 to 2025-04-30): 10.8%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9.2% of the position per year vs 20% annual wrapper capacity, from tail turnover 20%/yr on the 28.2% of accounts that are separated and active turnover 5%/yr on the rest. Shown beside the filed rate, not blended with it. Within 60% of wrapper capacity at these sliders.</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plan_restaurant_hourly.json (Form 5500, plan year 2024-05-01 to 2025-04-30).</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1.40% on managed assets (leverage-inclusive)</w:t>
            </w:r>
          </w:p>
        </w:tc>
        <w:tc>
          <w:tcPr>
            <w:tcW w:type="dxa" w:w="2880"/>
          </w:tcPr>
          <w:p>
            <w:r>
              <w:t>extracted-unverified</w:t>
            </w:r>
          </w:p>
        </w:tc>
      </w:tr>
      <w:tr>
        <w:tc>
          <w:tcPr>
            <w:tcW w:type="dxa" w:w="2880"/>
          </w:tcPr>
          <w:p>
            <w:r>
              <w:t>2.2 Incentive fee terms</w:t>
            </w:r>
          </w:p>
        </w:tc>
        <w:tc>
          <w:tcPr>
            <w:tcW w:type="dxa" w:w="3600"/>
          </w:tcPr>
          <w:p>
            <w:r>
              <w:t>incentive fee: 12.5%</w:t>
            </w:r>
          </w:p>
        </w:tc>
        <w:tc>
          <w:tcPr>
            <w:tcW w:type="dxa" w:w="2880"/>
          </w:tcPr>
          <w:p>
            <w:r>
              <w:t>extracted-unverified</w:t>
            </w:r>
          </w:p>
        </w:tc>
      </w:tr>
      <w:tr>
        <w:tc>
          <w:tcPr>
            <w:tcW w:type="dxa" w:w="2880"/>
          </w:tcPr>
          <w:p>
            <w:r>
              <w:t>2.3 Total expense ratio &amp; waivers</w:t>
            </w:r>
          </w:p>
        </w:tc>
        <w:tc>
          <w:tcPr>
            <w:tcW w:type="dxa" w:w="3600"/>
          </w:tcPr>
          <w:p>
            <w:r>
              <w:t>5.02% expense ratio, gross, before a 0.03% waiver, including the 1.60% incentive-fee drag, AFFE excluded (FY2026, Class I)</w:t>
            </w:r>
          </w:p>
        </w:tc>
        <w:tc>
          <w:tcPr>
            <w:tcW w:type="dxa" w:w="2880"/>
          </w:tcPr>
          <w:p>
            <w:r>
              <w:t>extracted-unverified</w:t>
            </w:r>
          </w:p>
        </w:tc>
      </w:tr>
      <w:tr>
        <w:tc>
          <w:tcPr>
            <w:tcW w:type="dxa" w:w="2880"/>
          </w:tcPr>
          <w:p>
            <w:r>
              <w:t>2.4 AFFE</w:t>
            </w:r>
          </w:p>
        </w:tc>
        <w:tc>
          <w:tcPr>
            <w:tcW w:type="dxa" w:w="3600"/>
          </w:tcPr>
          <w:p>
            <w:r>
              <w:t>AFFE 1.00%</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2% &lt; 1 year</w:t>
            </w:r>
          </w:p>
        </w:tc>
        <w:tc>
          <w:tcPr>
            <w:tcW w:type="dxa" w:w="2880"/>
          </w:tcPr>
          <w:p>
            <w:r>
              <w:t>extracted-unverified</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Evergreen private equity ('40-Act funds + '34-Act conglomerate) (n=5). Secondaries-led evergreen PE tender-offer fund - wrapper and strategy twin of hl_paf/stepstone_spm.</w:t>
      </w:r>
    </w:p>
    <w:p>
      <w:r>
        <w:t>Cohort placement (evergreen private equity cohort): mgmt fee: 50th percentile of cohort (n=5), at the median of 1.4 | expense ratio (bases differ, see notes): 90th percentile of cohort (n=5), above the median of 3.19 | repurchase cap: 50th percentile of cohort (n=5), at the median of 5. Statistics and per-member values are in the cohort artifact, membership rationales in the typed facts.</w:t>
      </w:r>
    </w:p>
    <w:p>
      <w:pPr>
        <w:pStyle w:val="ListBullet"/>
      </w:pPr>
      <w:r>
        <w:t>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kkr_kpec joins under the authorized fallback: its structural twins are Reg D vehicles with no public filings (data/roster_decisions.md - 'The kkr_kpec ruling'). Cross-wrapper caveats apply.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w:t>
      </w:r>
    </w:p>
    <w:p>
      <w:pPr>
        <w:pStyle w:val="Heading1"/>
      </w:pPr>
      <w:r>
        <w:t>Provenance</w:t>
      </w:r>
    </w:p>
    <w:p>
      <w:r>
        <w:t>Cell status for this product: structured 0, extracted-unverified 28, verified 0, computed 11, partial 2, fetched 1, n/a 13,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