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KKR Private Equity Conglomerate LLC (non-traded '34 Act reporting company, CIK 1957845)</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1.3 3.19% expense ratio, GAAP total operating expenses including the 2.75% performance participation, not a 1940-Act ratio (FY2025, Class I). 1.8 KS-PME 1.04 vs PSP (reference, not the benchmark).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Meaningful benchmark (paragraph (k)), Cambridge Associates US PE benchmark scored 9/12: no comparison computed (cited, series not in the record: no comparison computed).</w:t>
            </w:r>
          </w:p>
          <w:p>
            <w:r>
              <w:t>1.11 Track record &amp; manager tenure (extracted-unverified): Company formed / initially capitalized December 6, 2022; Form 10 registration statement automatically effective June 13, 2023; commenced principal operations August 1, 2023.</w:t>
            </w:r>
          </w:p>
          <w:p>
            <w:r>
              <w:t>1.12 Peer comparison (paragraphs (g) and (h)) (computed): Peer comparison (paragraphs (g) and (h)): evergreen private equity cohort, peers Hamilton Lane Private Assets Fund, StepStone Private Markets, Ares Private Markets Fund, AMG Pantheon Fund, LLC, fund return basis filed calendar-year returns (December fiscal year).</w:t>
            </w:r>
          </w:p>
          <w:p>
            <w:r>
              <w:t>Not applicable: 1.5 no underlying JV/deal-level performance is printed -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 stress-window performance cannot exist for this vehicle. 1.10 not exchange-listed.</w:t>
            </w:r>
          </w:p>
        </w:tc>
      </w:tr>
      <w:tr>
        <w:tc>
          <w:tcPr>
            <w:tcW w:type="dxa" w:w="1728"/>
          </w:tcPr>
          <w:p>
            <w:r>
              <w:t>2. Fees (h)</w:t>
            </w:r>
          </w:p>
        </w:tc>
        <w:tc>
          <w:tcPr>
            <w:tcW w:type="dxa" w:w="7632"/>
          </w:tcPr>
          <w:p>
            <w:r>
              <w:t>Typed facts: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 expiry is itself an evaluative datum.</w:t>
            </w:r>
          </w:p>
          <w:p>
            <w:r>
              <w:t>2.4 AFFE (partial): PARTIAL: No 'Acquired Fund Fees and Expenses' line exists —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aggregate NAV. 3.3 $9.5B net assets. 3.9 structural verdict partial,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 Share Repurchases): 247,476 Class R-I @ $31.84 avg; 576,591 Class R-U @ $30.97; 12,620 Class U @ $31.77; 12,369 Class I @ $32.64; 819 Class D @ $32.57; 20,516 Class R-D @ $32.57.</w:t>
            </w:r>
          </w:p>
          <w:p>
            <w:r>
              <w:t>3.4 Portfolio liquidity profile (extracted-unverified): As of 12/31/2025 ($ thousands): fair value hierarchy —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'The Manager determines the NAV of our Shares monthly' (Manager = KKR DAV Manager LLC).</w:t>
            </w:r>
          </w:p>
          <w:p>
            <w:r>
              <w:t>4.2 Fair-value hierarchy (L1/2/3) (extracted-unverified): Fair value hierarchy at 12/31/2025 ($ thousands, Note 4): Portfolio companies - Level I $23,278 / Level II $0 / Level III $8,980,760 / NAV practical expedient $5,411 = $9,009,449 total; FX-forward unrealized appreciation - Level II $27,607; FX-forward unrealized depreciation - Level II $(5,177); Money market funds -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 10-K (FY2025, filed 2026-03-26) and 10-Q (Q1 2026, filed 2026-05-13) —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DOCUMENTED ABSENCE: the Company self-declares NO performance benchmark anywhere in the FY2025 10-K.</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2023-12-31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 the word 'exemptive' has zero hits) and so it qualifies as a partnership for U.S. federal income tax purposes.</w:t>
            </w:r>
          </w:p>
          <w:p>
            <w:r>
              <w:t>6.2 Strategy &amp; instrument complexity (extracted-unverified): Strategy: private equity conglomerate —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private equity conglomerate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2023-12-31 to 2025-12-31: fund 13.95%/yr (filed calendar-year returns (December fiscal year)) vs the public series 11.81%/yr, KS-PME 1.0387, Direct Alpha 1.91%/yr. Disclosure: PME and alpha computed on appraisal-lagged NAVs are window-sensitive and can be smoothing-flattered. Conclusions should be read with the methodology's window-sensitivity analysis. Low confidence: 2-year window, shorter than 3 years.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documented absence of a self-declared performance benchmark.</w:t>
      </w:r>
    </w:p>
    <w:p>
      <w:pPr>
        <w:pStyle w:val="Heading2"/>
      </w:pPr>
      <w:r>
        <w:t>Peer comparison (paragraphs (g) and (h)): evergreen private equity cohort</w:t>
      </w:r>
    </w:p>
    <w:p>
      <w:r>
        <w:t>Peers: Hamilton Lane Private Assets Fund, StepStone Private Markets,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KKR Private Equity Conglomerate LLC</w:t>
            </w:r>
          </w:p>
        </w:tc>
        <w:tc>
          <w:tcPr>
            <w:tcW w:type="dxa" w:w="1337"/>
          </w:tcPr>
          <w:p>
            <w:r>
              <w:t>Hamilton Lane Private Assets Fund</w:t>
            </w:r>
          </w:p>
        </w:tc>
        <w:tc>
          <w:tcPr>
            <w:tcW w:type="dxa" w:w="1337"/>
          </w:tcPr>
          <w:p>
            <w:r>
              <w:t>StepStone Private Markets</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n/a</w:t>
            </w:r>
          </w:p>
        </w:tc>
        <w:tc>
          <w:tcPr>
            <w:tcW w:type="dxa" w:w="1337"/>
          </w:tcPr>
          <w:p>
            <w:r>
              <w:t>20.77%</w:t>
            </w:r>
          </w:p>
        </w:tc>
        <w:tc>
          <w:tcPr>
            <w:tcW w:type="dxa" w:w="1337"/>
          </w:tcPr>
          <w:p>
            <w:r>
              <w:t>29.43%</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n/a</w:t>
            </w:r>
          </w:p>
        </w:tc>
        <w:tc>
          <w:tcPr>
            <w:tcW w:type="dxa" w:w="1337"/>
          </w:tcPr>
          <w:p>
            <w:r>
              <w:t>16.1%</w:t>
            </w:r>
          </w:p>
        </w:tc>
        <w:tc>
          <w:tcPr>
            <w:tcW w:type="dxa" w:w="1337"/>
          </w:tcPr>
          <w:p>
            <w:r>
              <w:t>8.23%</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n/a</w:t>
            </w:r>
          </w:p>
        </w:tc>
        <w:tc>
          <w:tcPr>
            <w:tcW w:type="dxa" w:w="1337"/>
          </w:tcPr>
          <w:p>
            <w:r>
              <w:t>12.68%</w:t>
            </w:r>
          </w:p>
        </w:tc>
        <w:tc>
          <w:tcPr>
            <w:tcW w:type="dxa" w:w="1337"/>
          </w:tcPr>
          <w:p>
            <w:r>
              <w:t>13.79%</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11.82%</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n/a</w:t>
            </w:r>
          </w:p>
        </w:tc>
        <w:tc>
          <w:tcPr>
            <w:tcW w:type="dxa" w:w="1337"/>
          </w:tcPr>
          <w:p>
            <w:r>
              <w:t>12.59%</w:t>
            </w:r>
          </w:p>
        </w:tc>
        <w:tc>
          <w:tcPr>
            <w:tcW w:type="dxa" w:w="1337"/>
          </w:tcPr>
          <w:p>
            <w:r>
              <w:t>10.76%</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16.14%</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n/a</w:t>
            </w:r>
          </w:p>
        </w:tc>
        <w:tc>
          <w:tcPr>
            <w:tcW w:type="dxa" w:w="1337"/>
          </w:tcPr>
          <w:p>
            <w:r>
              <w:t>14.6%</w:t>
            </w:r>
          </w:p>
        </w:tc>
        <w:tc>
          <w:tcPr>
            <w:tcW w:type="dxa" w:w="1337"/>
          </w:tcPr>
          <w:p>
            <w:r>
              <w:t>10.47%</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private equity conglomerate),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private equity conglomerate),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aggregate NAV. Direct DIA use requires a bridging structure: CIT sleeve, managed account, or TDF sleeve (cell 3.5).</w:t>
      </w:r>
    </w:p>
    <w:p>
      <w:pPr>
        <w:pStyle w:val="ListBullet"/>
      </w:pPr>
      <w:r>
        <w:t>Facts missing for a structural verdict: gate_history (shares requested versus repurchased: the 10-K prints repurchases by class and discloses no proration, deferral or unsatisfied-request event for 2024-2025, but the requested amounts are not printed, so a clean False would overclaim (R2-P1-12 rule)). The verdict stays partial until they are typed from the filings.</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LLC ('34 Act)</w:t>
            </w:r>
          </w:p>
        </w:tc>
        <w:tc>
          <w:tcPr>
            <w:tcW w:type="dxa" w:w="1152"/>
          </w:tcPr>
          <w:p>
            <w:r>
              <w:t>6.1</w:t>
            </w:r>
          </w:p>
        </w:tc>
      </w:tr>
      <w:tr>
        <w:tc>
          <w:tcPr>
            <w:tcW w:type="dxa" w:w="2448"/>
          </w:tcPr>
          <w:p>
            <w:r>
              <w:t>Dealing terms</w:t>
            </w:r>
          </w:p>
        </w:tc>
        <w:tc>
          <w:tcPr>
            <w:tcW w:type="dxa" w:w="5760"/>
          </w:tcPr>
          <w:p>
            <w:r>
              <w:t>quarterly offers, 5% cap per quarter on aggregate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shares requested versus repurchased: the 10-K prints repurchases by class and discloses no proration, deferral or unsatisfied-request event for 2024-2025, but the requested amounts are not printed, so a clean False would overclaim (R2-P1-12 rule)</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r>
        <w:tc>
          <w:tcPr>
            <w:tcW w:type="dxa" w:w="2448"/>
          </w:tcPr>
          <w:p>
            <w:r>
              <w:t>Fund net assets (for the dollar capacity)</w:t>
            </w:r>
          </w:p>
        </w:tc>
        <w:tc>
          <w:tcPr>
            <w:tcW w:type="dxa" w:w="5760"/>
          </w:tcPr>
          <w:p>
            <w:r>
              <w:t>approx. $9.5B</w:t>
            </w:r>
          </w:p>
        </w:tc>
        <w:tc>
          <w:tcPr>
            <w:tcW w:type="dxa" w:w="1152"/>
          </w:tcPr>
          <w:p>
            <w:r>
              <w:t>3.3</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$1.9B per year (20% of approx. $9.5B net assets, cell 3.3). The plan's demand at the filed rate is $8.5M per year, 0.45% of that capacity, a claim shared with every other holder.</w:t>
      </w:r>
    </w:p>
    <w:p>
      <w:r>
        <w:t>Scenario verdict (ILLUSTRATIVE, this plan): CONDITIONAL.</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Fund capacity in dollars: 20% of approx. $9.5B net assets (cell 3.3) is $1.9B per year. At a 5% allocation ($79.3M) the plan's demand at the filed rate is $8.5M per year, 0.45%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Benchmark: low confidence: 2-year window, shorter than 3 years (benchmark comparison)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 (cell 1.12)</w:t>
      </w:r>
    </w:p>
    <w:p>
      <w:pPr>
        <w:pStyle w:val="ListBullet"/>
      </w:pPr>
      <w:r>
        <w:t>Liquidity: structural verdict partial, facts missing: gate_history (cells 3.1, 3.3)</w:t>
      </w:r>
    </w:p>
    <w:p>
      <w:pPr>
        <w:pStyle w:val="ListBullet"/>
      </w:pPr>
      <w:r>
        <w:t>Tax reporting: Schedule K-1 (cell 6.4)</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10, partial 4, fetched 1, n/a 14, pending 0. 41 of 41 resolvable, 0 verified, 14 n/a by wrapper.</w:t>
      </w:r>
    </w:p>
    <w:p>
      <w:r>
        <w:t>Of the 40 evidenced cells, 40 carry a source document, 40 a section, 30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1.3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1.8</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1.11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1.12</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2.1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2.3</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2.5</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2.7</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3.2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4.5</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4.6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5.3</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5.6</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6.4</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6.5</w:t>
            </w:r>
          </w:p>
        </w:tc>
        <w:tc>
          <w:tcPr>
            <w:tcW w:type="dxa" w:w="3456"/>
          </w:tcPr>
          <w:p>
            <w:r>
              <w:t>Form 10-K (FY2025), filed 2026-03-26</w:t>
            </w:r>
          </w:p>
        </w:tc>
        <w:tc>
          <w:tcPr>
            <w:tcW w:type="dxa" w:w="5184"/>
          </w:tcPr>
          <w:p>
            <w:r>
              <w:t>10-K 2026-03-26 accession 0001957845-26-000029 https://www.sec.gov/Archives/edgar/data/1957845/000195784526000029/kkr-20251231.htm</w:t>
            </w:r>
          </w:p>
        </w:tc>
      </w:tr>
    </w:tbl>
    <w:p>
      <w:r>
        <w:t>Data sources: SEC EDGAR filings (2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