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Blue Owl Credit Income Corp. (perpetual-life non-traded BDC (quarterly 13e-4 tenders), CIK 1812554)</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Meaningful benchmark (paragraph (k)): Cliffwater Direct Lending Index (CDLI) at 9/12, no comparison computed (cited, series not in the record: no comparison computed).</w:t>
      </w:r>
    </w:p>
    <w:p>
      <w:r>
        <w:t>Reference comparison, not the meaningful benchmark: Senior loan investable proxy (BKLN, for Morningstar LSTA class), KS-PME 1.1541, Direct Alpha 2.91%/yr over 2021-01-01 to 2025-12-31.</w:t>
      </w:r>
    </w:p>
    <w:p>
      <w:r>
        <w:t>Peer comparison (paragraphs (g) and (h)): relative wealth ratio 1.0127, annualized excess return 0.25%/yr (not a public market equivalent) vs the peer composite over 2021 to 2025 (n=4), not a benchmark.</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Liquidity: structural verdict partial, facts missing: gate_history (cells 3.1, 3.3)</w:t>
      </w:r>
    </w:p>
    <w:p>
      <w:r>
        <w:t>Evidence coverage: 46 of 46 resolvable, 0 verified, 9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Cliffwater Direct Lending Index (CDLI)</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Senior loan investable proxy (BKLN, for Morningstar LSTA class)</w:t>
            </w:r>
          </w:p>
        </w:tc>
        <w:tc>
          <w:tcPr>
            <w:tcW w:type="dxa" w:w="864"/>
          </w:tcPr>
          <w:p>
            <w:r>
              <w:t>8/12</w:t>
            </w:r>
          </w:p>
        </w:tc>
        <w:tc>
          <w:tcPr>
            <w:tcW w:type="dxa" w:w="3888"/>
          </w:tcPr>
          <w:p>
            <w:r>
              <w:t>KS-PME 1.1541, Direct Alpha 2.91%/yr, 2021-01-01 to 2025-12-31</w:t>
            </w:r>
          </w:p>
        </w:tc>
      </w:tr>
      <w:tr>
        <w:tc>
          <w:tcPr>
            <w:tcW w:type="dxa" w:w="1152"/>
          </w:tcPr>
          <w:p>
            <w:r>
              <w:t>Peer comparison (paragraphs (g) and (h))</w:t>
            </w:r>
          </w:p>
        </w:tc>
        <w:tc>
          <w:tcPr>
            <w:tcW w:type="dxa" w:w="3456"/>
          </w:tcPr>
          <w:p>
            <w:r>
              <w:t>Peer composite, private credit cohort without Blue Owl Credit Income Corp.</w:t>
            </w:r>
          </w:p>
        </w:tc>
        <w:tc>
          <w:tcPr>
            <w:tcW w:type="dxa" w:w="864"/>
          </w:tcPr>
          <w:p>
            <w:r>
              <w:t>not scored</w:t>
            </w:r>
          </w:p>
        </w:tc>
        <w:tc>
          <w:tcPr>
            <w:tcW w:type="dxa" w:w="3888"/>
          </w:tcPr>
          <w:p>
            <w:r>
              <w:t>relative wealth ratio 1.0127, annualized excess return 0.25%/yr (not a public market equivalent), 2021 to 2025 (n=4)</w:t>
            </w:r>
          </w:p>
        </w:tc>
      </w:tr>
      <w:tr>
        <w:tc>
          <w:tcPr>
            <w:tcW w:type="dxa" w:w="1152"/>
          </w:tcPr>
          <w:p>
            <w:r>
              <w:t>rejected</w:t>
            </w:r>
          </w:p>
        </w:tc>
        <w:tc>
          <w:tcPr>
            <w:tcW w:type="dxa" w:w="3456"/>
          </w:tcPr>
          <w:p>
            <w:r>
              <w:t>Senior loan investable proxy (BKLN, for Morningstar LSTA class)</w:t>
            </w:r>
          </w:p>
        </w:tc>
        <w:tc>
          <w:tcPr>
            <w:tcW w:type="dxa" w:w="864"/>
          </w:tcPr>
          <w:p>
            <w:r>
              <w:t>8/12</w:t>
            </w:r>
          </w:p>
        </w:tc>
        <w:tc>
          <w:tcPr>
            <w:tcW w:type="dxa" w:w="3888"/>
          </w:tcPr>
          <w:p>
            <w:r>
              <w:t>ranked below the selected candidate: 8/12 vs 9/12 for CDLI</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$19.8B</w:t>
            </w:r>
          </w:p>
        </w:tc>
        <w:tc>
          <w:tcPr>
            <w:tcW w:type="dxa" w:w="1152"/>
          </w:tcPr>
          <w:p>
            <w:r>
              <w:t>3.6</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$4.0B per year (20% of approx. $19.8B net assets, cell 3.6). The plan's demand at the filed rate is $8.5M per year, 0.22%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Fund capacity in dollars: 20% of approx. $19.8B net assets (cell 3.6) is $4.0B per year. At a 5% allocation ($79.3M) the plan's demand at the filed rate is $8.5M per year, 0.22%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net assets</w:t>
            </w:r>
          </w:p>
        </w:tc>
        <w:tc>
          <w:tcPr>
            <w:tcW w:type="dxa" w:w="2880"/>
          </w:tcPr>
          <w:p>
            <w:r>
              <w:t>extracted-unverified</w:t>
            </w:r>
          </w:p>
        </w:tc>
      </w:tr>
      <w:tr>
        <w:tc>
          <w:tcPr>
            <w:tcW w:type="dxa" w:w="2880"/>
          </w:tcPr>
          <w:p>
            <w:r>
              <w:t>2.2 Incentive fee terms</w:t>
            </w:r>
          </w:p>
        </w:tc>
        <w:tc>
          <w:tcPr>
            <w:tcW w:type="dxa" w:w="3600"/>
          </w:tcPr>
          <w:p>
            <w:r>
              <w:t>incentive fee: 12.5% / 5% hurdle</w:t>
            </w:r>
          </w:p>
        </w:tc>
        <w:tc>
          <w:tcPr>
            <w:tcW w:type="dxa" w:w="2880"/>
          </w:tcPr>
          <w:p>
            <w:r>
              <w:t>extracted-unverified</w:t>
            </w:r>
          </w:p>
        </w:tc>
      </w:tr>
      <w:tr>
        <w:tc>
          <w:tcPr>
            <w:tcW w:type="dxa" w:w="2880"/>
          </w:tcPr>
          <w:p>
            <w:r>
              <w:t>2.3 Total expense ratio &amp; waivers</w:t>
            </w:r>
          </w:p>
        </w:tc>
        <w:tc>
          <w:tcPr>
            <w:tcW w:type="dxa" w:w="3600"/>
          </w:tcPr>
          <w:p>
            <w:r>
              <w:t>8.40% expense ratio, net, including the interest and financing cost of BDC leverage (FY2025, Class I)</w:t>
            </w:r>
          </w:p>
        </w:tc>
        <w:tc>
          <w:tcPr>
            <w:tcW w:type="dxa" w:w="2880"/>
          </w:tcPr>
          <w:p>
            <w:r>
              <w:t>extracted-unverified</w:t>
            </w:r>
          </w:p>
        </w:tc>
      </w:tr>
      <w:tr>
        <w:tc>
          <w:tcPr>
            <w:tcW w:type="dxa" w:w="2880"/>
          </w:tcPr>
          <w:p>
            <w:r>
              <w:t>2.4 AFFE</w:t>
            </w:r>
          </w:p>
        </w:tc>
        <w:tc>
          <w:tcPr>
            <w:tcW w:type="dxa" w:w="3600"/>
          </w:tcPr>
          <w:p>
            <w:r>
              <w:t>AFFE 0.00%</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26, verified 0, computed 10, partial 9, fetched 1, n/a 9,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