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PIMCO Flexible Credit Income Fund (TRUE interval fund (Rule 23c-3), flexible credit, CIK 1688554)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Meaningful benchmark (paragraph (k)): Cliffwater Direct Lending Index (CDLI) at 8/12, no comparison computed (cited, series not in the record: no comparison computed).</w:t>
      </w:r>
    </w:p>
    <w:p>
      <w:r>
        <w:t>Reference comparison, not the meaningful benchmark: Senior loan investable proxy (BKLN, for Morningstar LSTA class), KS-PME 1.1089, Direct Alpha 1.3%/yr over 2018-07-18 to 2026-07-17.</w:t>
      </w:r>
    </w:p>
    <w:p>
      <w:r>
        <w:t>Peer comparison (paragraphs (g) and (h)): relative wealth ratio 0.8757, annualized excess return -2.62%/yr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r>
        <w:t>Evidence coverage: 44 of 44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8/12.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8/12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1.1089, Direct Alpha 1.3%/yr, 2018-07-18 to 2026-07-17</w:t>
            </w:r>
          </w:p>
        </w:tc>
      </w:tr>
      <w:tr>
        <w:tc>
          <w:tcPr>
            <w:tcW w:type="dxa" w:w="1152"/>
          </w:tcPr>
          <w:p>
            <w:r>
              <w:t>SEC-required comparator</w:t>
            </w:r>
          </w:p>
        </w:tc>
        <w:tc>
          <w:tcPr>
            <w:tcW w:type="dxa" w:w="3456"/>
          </w:tcPr>
          <w:p>
            <w:r>
              <w:t>ICE BofA US High Yield Index</w:t>
            </w:r>
          </w:p>
        </w:tc>
        <w:tc>
          <w:tcPr>
            <w:tcW w:type="dxa" w:w="864"/>
          </w:tcPr>
          <w:p>
            <w:r/>
          </w:p>
        </w:tc>
        <w:tc>
          <w:tcPr>
            <w:tcW w:type="dxa" w:w="3888"/>
          </w:tcPr>
          <w:p>
            <w:r>
              <w:t>cited, not held, scored 6/12, below the threshold</w:t>
            </w:r>
          </w:p>
        </w:tc>
      </w:tr>
      <w:tr>
        <w:tc>
          <w:tcPr>
            <w:tcW w:type="dxa" w:w="1152"/>
          </w:tcPr>
          <w:p>
            <w:r>
              <w:t>Peer comparison (paragraphs (g) and (h))</w:t>
            </w:r>
          </w:p>
        </w:tc>
        <w:tc>
          <w:tcPr>
            <w:tcW w:type="dxa" w:w="3456"/>
          </w:tcPr>
          <w:p>
            <w:r>
              <w:t>Peer composite, private credit cohort without PIMCO Flexible Credit Income Fund</w:t>
            </w:r>
          </w:p>
        </w:tc>
        <w:tc>
          <w:tcPr>
            <w:tcW w:type="dxa" w:w="864"/>
          </w:tcPr>
          <w:p>
            <w:r>
              <w:t>not scored</w:t>
            </w:r>
          </w:p>
        </w:tc>
        <w:tc>
          <w:tcPr>
            <w:tcW w:type="dxa" w:w="3888"/>
          </w:tcPr>
          <w:p>
            <w:r>
              <w:t>relative wealth ratio 0.8757, annualized excess return -2.62%/yr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tied: tied on score, ordered by strategy_match, then risk_liquidity_match, then data held, then alphabetical (score 8/12, selected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ICE BofA US High Yield Index</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$3.6B</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$719.4M per year (20% of approx. $3.6B net assets, cell 3.6). The plan's demand at the filed rate is $8.5M per year, 1.18%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Fund capacity in dollars: 20% of approx. $3.6B net assets (cell 3.6) is $719.4M per year. At a 5% allocation ($79.3M) the plan's demand at the filed rate is $8.5M per year, 1.18%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1.30% on the lesser of two bases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1.97% expense ratio, excluding interest expense (5.12% including reverse-repo interest), gross equals net, no waivers (FY2025, Institutional)</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27, verified 0, computed 14, partial 2,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