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US casual-dining restaurant group 401(k) plan (~$1.6B, FL)</w:t>
        <w:br/>
      </w:r>
      <w:r>
        <w:t>Product: Starwood Real Estate Income Trust, Inc. (non-traded REIT ('34 Act reporting), CIK 1711929)</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in this build. The rule paragraph under each letter follows verbatim and the full text of paragraphs (g) to (l), examples included, is the appendix at the end of this memo. Cells 6.6 and 6.8 are advisor-completed under paragraph (l).</w:t>
      </w:r>
    </w:p>
    <w:p>
      <w:pPr>
        <w:pStyle w:val="IntenseQuote"/>
      </w:pPr>
      <w:r>
        <w:t>(g) Performance. The plan fiduciary must appropriately consider a reasonable number of similar alternatives and determine that the risk-adjusted expected returns, over an appropriate time-horizon, of the designated investment alternative, net of anticipated fees and expenses, further the purposes of the plan by enabling participants and beneficiaries to maximize risk-adjusted returns on investment net of fees and expenses.</w:t>
      </w:r>
    </w:p>
    <w:p>
      <w:pPr>
        <w:pStyle w:val="IntenseQuote"/>
      </w:pPr>
      <w:r>
        <w:t>(h) Fees. The plan fiduciary must consider a reasonable number of similar alternatives and determine that the fees and expenses of the designated investment alternative are appropriate, taking into account its risk-adjusted expected returns and any other value the designated investment alternative brings to furthering the purposes of the plan. For this purpose, the term “value” includes any benefits, features, or services other than risk-adjusted returns. Section 404(a)(1)(B) of ERISA and paragraph (h) of this section are not violated solely because the fiduciary does not select the alternative with the lowest fees and expenses from among the alternatives considered. For example, a prudent plan fiduciary could choose to pay more in exchange for greater services.</w:t>
      </w:r>
    </w:p>
    <w:p>
      <w:pPr>
        <w:pStyle w:val="IntenseQuote"/>
      </w:pPr>
      <w:r>
        <w:t>(i) Liquidity. The fiduciary must appropriately consider and determine that the designated investment alternative will have sufficient liquidity to meet the anticipated needs of the plan at both the plan and individual levels. For example, because participant-directed individual account plans are long-term retirement savings vehicles, particularly for participants early in their careers, there is no requirement that a fiduciary select only fully liquid products. Indeed, a prudent fiduciary process may regularly lead to a decision to sacrifice some plan- or individual-level liquidity, or both, in pursuit of additional risk-adjusted return.</w:t>
      </w:r>
    </w:p>
    <w:p>
      <w:pPr>
        <w:pStyle w:val="IntenseQuote"/>
      </w:pPr>
      <w:r>
        <w:t>(j) Valuation. The fiduciary must appropriately consider and determine that the designated investment alternative has adopted adequate measures to ensure that the designated investment alternative is capable of being timely and accurately valued in accordance with the needs of the plan.</w:t>
      </w:r>
    </w:p>
    <w:p>
      <w:pPr>
        <w:pStyle w:val="IntenseQuote"/>
      </w:pPr>
      <w:r>
        <w:t>(k) Performance benchmark. The plan fiduciary must appropriately consider and determine that each designated investment alternative has a meaningful benchmark, and compare the risk-adjusted expected returns of the designated investment alternative to the meaningful benchmark. There may be more than one meaningful benchmark for a designated investment alternative, however no single benchmark is a meaningful benchmark for all designated investment alternatives on a plan investment menu. A “meaningful benchmark” is an investment, strategy, index, or other comparator that has similar mandates, strategies, objectives, and risks to the designated investment alternative. The “risk-adjusted expected returns” of the designated investment alternative may be determined based on its historical performance unless it has none, in which case it may be determined based on the historical performance of a different investment with similar mandates, strategies, objectives, and risks and that is not the meaningful benchmark. While a plan fiduciary should identify benchmarks that are as meaningful as possible, there is no presumption or preference against new or innovative designated investment alternative designs. Instead, when considering a new or innovative product design, a fiduciary should seek to identify the best possible comparators to it while also scrutinizing the potential value proposition presented by the new or innovative design.</w:t>
      </w:r>
    </w:p>
    <w:p>
      <w:pPr>
        <w:pStyle w:val="IntenseQuote"/>
      </w:pPr>
      <w:r>
        <w:t>(l) Complexity. The plan fiduciary must appropriately consider the complexity of the designated investment alternative and determine that it has the skills, knowledge, experience, and capacity to comprehend it sufficiently to discharge its obligations under ERISA and the governing plan documents or whether it must seek assistance from a qualified investment advice fiduciary, investment manager, or other individual.</w:t>
      </w:r>
    </w:p>
    <w:p>
      <w:r>
        <w:t>Source: Federal Register document 2026-06178, fetched 2026-09-07T06:19:25+00:00, content hash aef7a94680824e55. Nothing in the quoted text is Tark's.</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the evidence ledger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1.8 KS-PME 0.95 vs VNQ (reference, not the benchmark). 1.11 inception 2017-12-27, 8 years.</w:t>
            </w:r>
          </w:p>
          <w:p>
            <w:r>
              <w:t>1.1 Net total return series (extracted-unverified): Printed monthly NAV-per-share series for all four classes (S/T/D/I), Jan 2025 - Dec 2025 (12 points) in FY2025 10-K Item 5; Class I path: 21.64 (Jan) -&gt; 21.48 -&gt; 21.14 -&gt; 20.97 -&gt; 20.92 -&gt; 20.92 -&gt; 20.82 -&gt; 20.59 -&gt; 20.42 -&gt; 20.26 -&gt; 20.16 -&gt; 19.96 (Dec 31, 2025).</w:t>
            </w:r>
          </w:p>
          <w:p>
            <w:r>
              <w:t>1.2 Trailing &amp; calendar-year returns (extracted-unverified): FY2025 10-K '2025 Highlights' table, classes in order T | S | D | I: Annualized Year-to-Date Total Return, without upfront selling commissions and dealer manager fees: (3.3%) | (3.2%) | (2.7%) | (2.4%); Annualized Inception-to-Date Total Return, without upfront: 4.7% | 4.7% | 5.0% | 5.4%; Annualized ITD assuming full upfront selling commissions and dealer manager fees: 4.2% | 4.1% | 4.8% | N/A; Average Annualized Distribution Rate: 5.2% | 5.2% | 6.0% | 6.2%.</w:t>
            </w:r>
          </w:p>
          <w:p>
            <w:r>
              <w:t>1.3 Gross vs net spread (partial): PARTIAL: no gross-of-fees return series and no gross/net expense ratios exist - '34-Act non-traded REIT with no financial-highlights table; mechanical search of the stripped FY2025 10-K and Q2-2026 10-Q for 'expense ratio' returns zero hits in both.</w:t>
            </w:r>
          </w:p>
          <w:p>
            <w:r>
              <w:t>1.4 Distribution history &amp; composition (extracted-unverified): FY2025: declared monthly net distributions totaling $484.8 million ($484,759K); per-share declared totals T $1.0632 | S $1.0627 | D $1.1903 | I $1.2420 (Class I $0.1035 every month of 2025).</w:t>
            </w:r>
          </w:p>
          <w:p>
            <w:r>
              <w:t>1.5 Underlying sleeve/GP performance (partial): PARTIAL: direct-ownership REIT - no underlying third-party GP funds, so no underlying-fund IRR table exists.</w:t>
            </w:r>
          </w:p>
          <w:p>
            <w:r>
              <w:t>1.8 Risk-adjusted metrics (PME etc) (computed): Meaningful benchmark (paragraph (k)), NCREIF Fund Index - ODCE (private core RE) scored 9/12: no comparison computed (cited, series not in the record: no comparison computed).</w:t>
            </w:r>
          </w:p>
          <w:p>
            <w:r>
              <w:t>1.9 Stress-window performance (computed): Stress observation from the printed fiscal-year returns on record.</w:t>
            </w:r>
          </w:p>
          <w:p>
            <w:r>
              <w:t>1.11 Track record &amp; manager tenure (extracted-unverified): Formed June 22, 2017 as a Maryland corporation; REIT election commencing with taxable year ended December 31, 2019; IPO commenced December 27, 2017 ($5.0B), follow-on offering June 2, 2021 ($10.0B), third offering August 10, 2022 ($18.0B), fourth offering commenced February 4, 2026 ($10.0B: $9.5B primary + $0.5B DRIP); net proceeds $14.3 billion raised as of March 20, 2026 - roughly 8 years of offering history at the FY2025 10-K.</w:t>
            </w:r>
          </w:p>
          <w:p>
            <w:r>
              <w:t>1.12 Peer comparison (paragraphs (g) and (h)) (computed): Peer comparison (paragraphs (g) and (h)): non-traded real estate cohort, peers Blackstone Real Estate Income Trust Inc, JLL Income Property Trust, Inc., fund return basis filed calendar-year returns (December fiscal year).</w:t>
            </w:r>
          </w:p>
          <w:p>
            <w:r>
              <w:t>Not applicable: 1.6 sub-annual return series not free-public for this wrapper. 1.7 sub-annual return series not free-public for this wrapper. 1.10 not exchange-listed.</w:t>
            </w:r>
          </w:p>
        </w:tc>
      </w:tr>
      <w:tr>
        <w:tc>
          <w:tcPr>
            <w:tcW w:type="dxa" w:w="1728"/>
          </w:tcPr>
          <w:p>
            <w:r>
              <w:t>2. Fees (h)</w:t>
            </w:r>
          </w:p>
        </w:tc>
        <w:tc>
          <w:tcPr>
            <w:tcW w:type="dxa" w:w="7632"/>
          </w:tcPr>
          <w:p>
            <w:r>
              <w:t>Typed facts: 2.1 1.25% on NAV. 2.2 incentive fee: 12.5%. 2.4 no AFFE line. 2.7 early repurchase fee: 5% &lt; 1 year.</w:t>
            </w:r>
          </w:p>
          <w:p>
            <w:r>
              <w:t>2.1 Management fee (rate AND base) (extracted-unverified): RATE AND BASE: annual management fee of (i) 1.25% of NAV per annum, payable monthly (computed before accruals for the management fee, stockholder servicing fee, performance participation or distributions), plus (ii) 1.25% per annum of aggregate DST Property consideration for FMV-Option DST Properties, plus 1.25% of the NAV of Operating Partnership units held by non-Company unitholders; payable in cash, shares or OP units at the Advisor's election (Advisor has elected shares every year).</w:t>
            </w:r>
          </w:p>
          <w:p>
            <w:r>
              <w:t>2.2 Incentive fee terms (extracted-unverified): Performance participation interest held by Starwood REIT Special Limited Partner, L.L.C. (wholly owned subsidiary of Starwood Capital Group Holdings): 12.5% of the Operating Partnership's annual total return (defined as distributions paid or accrued plus change in NAV) after other unitholders receive a 5% total return (after recouping any loss carryforward amount), with catch-up until the split is 12.5%/87.5%, then 12.5% thereafter; paid annually in cash or Class I OP units at the Special Limited Partner's election.</w:t>
            </w:r>
          </w:p>
          <w:p>
            <w:r>
              <w:t>2.4 AFFE (extracted-unverified): Not applicable - none exists: SREIT is a '34-Act 10-K filer (not a 1940-Act registered fund), so no 'Acquired Fund Fees and Expenses' line exists or can exist.</w:t>
            </w:r>
          </w:p>
          <w:p>
            <w:r>
              <w:t>2.5 Underlying GP economics (partial): PARTIAL: SREIT owns real estate directly - no fund-of-funds layer, so no underlying GP fee/carry table exists.</w:t>
            </w:r>
          </w:p>
          <w:p>
            <w:r>
              <w:t>2.6 Loads &amp; servicing fees (extracted-unverified): Item 5 share-class fee table (T | S | D | I): selling commissions and dealer manager fees (% of transaction price) up to 3.5% | up to 3.5% | up to 1.5% | none; stockholder servicing fee (% of NAV per annum) 0.85% | 0.85% | 0.25% | none.</w:t>
            </w:r>
          </w:p>
          <w:p>
            <w:r>
              <w:t>2.7 Early repurchase fee (extracted-unverified): Early Repurchase Deduction ACTIVE: shares that have not been outstanding for at least one year are repurchased at 95% of the transaction price - a 5% deduction.</w:t>
            </w:r>
          </w:p>
          <w:p>
            <w:r>
              <w:t>2.9 Fee peer percentile (computed): Cohort placement (non-traded real estate cohort): mgmt fee: at the cohort median of 1.25 (n=3, too small for percentile language) | expense ratio (bases differ, see notes): fact unavailable for this member | repurchase cap: below the cohort median of 2 (n=3, too small for percentile language).</w:t>
            </w:r>
          </w:p>
          <w:p>
            <w:r>
              <w:t>Not applicable: 2.3 no TER disclosure exists for a '34-Act non-traded REIT - zero hits for 'expense ratio' in the stripped FY2025 10-K and Q2-2026 10-Q; fee-burden components evidenced in 2.1/2.2/2.6/2.7. 2.8 CIT only. 2.10 requires the plan committee's own value-for-fees determination - workflow output, not public product data (inputs live in cells 2.1-2.7).</w:t>
            </w:r>
          </w:p>
        </w:tc>
      </w:tr>
      <w:tr>
        <w:tc>
          <w:tcPr>
            <w:tcW w:type="dxa" w:w="1728"/>
          </w:tcPr>
          <w:p>
            <w:r>
              <w:t>3. Liquidity (i)</w:t>
            </w:r>
          </w:p>
        </w:tc>
        <w:tc>
          <w:tcPr>
            <w:tcW w:type="dxa" w:w="7632"/>
          </w:tcPr>
          <w:p>
            <w:r>
              <w:t>Typed facts: 3.1 monthly dealing, 0% cap per month on aggregate NAV. 3.3 gating history: yes, prorated under stress. 3.9 structural verdict misaligned, plan-independent.</w:t>
            </w:r>
          </w:p>
          <w:p>
            <w:r>
              <w:t>3.1 Wrapper liquidity terms (extracted-unverified): Monthly share repurchase plan with a three-step cap SHRINK and then closure: (a) from inception (plan first announced December 2017): 2% of aggregate NAV per month + 5% per calendar quarter (measured on prior month/quarter NAV attributable to stockholders); (b) amended May 23, 2024: 0.33% of NAV per month (from May 2024) and 1% per quarter (from July 1, 2024); (c) amended June 6, 2025: 0.5% of NAV per month (from June 2025) and 1.5% per quarter (from July 1, 2025); (d) amended April 29, 2026: only death/qualifying-disability requests (up to $5.0M/month) and accounts below $5,000 (up to $5.0M/month) - 'no repurchase requests will be accepted except in connection with (i) and (ii) above' (10-Q); the 10-Q MD&amp;A states 'we suspended our share repurchase program'.</w:t>
            </w:r>
          </w:p>
          <w:p>
            <w:r>
              <w:t>3.2 Repurchase mechanics (extracted-unverified): Mechanics as printed: stockholders may request repurchase of all or any portion of shares monthly; company may repurchase all, some or none in its discretion.</w:t>
            </w:r>
          </w:p>
          <w:p>
            <w:r>
              <w:t>3.3 Repurchase history (extracted-unverified): THE GATING STORY, quantified from the filings: repurchase requests have consistently exceeded plan limits since October 2022 (issuer's own words, repeated in 10-K, 10-Q and 424B3).</w:t>
            </w:r>
          </w:p>
          <w:p>
            <w:r>
              <w:t>3.4 Portfolio liquidity profile (extracted-unverified): December 31, 2025 available liquidity $527.8M: cash and cash equivalents $200,806K + available borrowings on undrawn unsecured line of credit $177,000K + undrawn senior secured revolving credit facility $150,000K - against NAV $8.25B and debt obligations $11.75B.</w:t>
            </w:r>
          </w:p>
          <w:p>
            <w:r>
              <w:t>3.6 Fund leverage &amp; facilities (extracted-unverified): Target leverage ratio 50% to 65% (property-level and entity-level debt net of cash and loan-related restricted cash, over gross real estate assets at greater of FMV or cost plus RE-debt/securities equity, including DST Property values); charter limit: no indebtedness for money borrowed exceeding 300% of the cost of net assets (approximates 75% of cost of investments) absent override.</w:t>
            </w:r>
          </w:p>
          <w:p>
            <w:r>
              <w:t>3.7 Plan participant liquidity demand (computed, this plan): Plan-side demand profile for this plan (Form 5500, plan year 2024-05-01 to 2025-04-30): 12,176 separated participants with balances = 28.2% of 43,129 accounts (the near-term liquidity tail), 197,946 active, 4 retirees in pay status, filed outflow proxy 10.75% of beginning net assets (Schedule H totals).</w:t>
            </w:r>
          </w:p>
          <w:p>
            <w:r>
              <w:t>3.8 Redemption stress test (computed, this plan): ILLUSTRATIVE redemption stress test for this plan: filed outflow proxy 10.75% of the position, slider assumption 9.2%, stressed demand 18.2% vs 0% annual wrapper capacity, EXCEEDS annual wrapper capacity (18.2% vs 0%). Unmet demand rolls into later windows (gating-equivalent outcome). Source: this plan's liquidity match.</w:t>
            </w:r>
          </w:p>
          <w:p>
            <w:r>
              <w:t>3.9 Product-to-plan liquidity match (computed, this plan): Structural liquidity verdict MISALIGNED (typed facts, plan-independent). Scenario verdict under this plan (ILLUSTRATIVE): MISALIGNED. Source: this plan's liquidity match.</w:t>
            </w:r>
          </w:p>
          <w:p>
            <w:r>
              <w:t>Not applicable: 3.5 CIT only.</w:t>
            </w:r>
          </w:p>
        </w:tc>
      </w:tr>
      <w:tr>
        <w:tc>
          <w:tcPr>
            <w:tcW w:type="dxa" w:w="1728"/>
          </w:tcPr>
          <w:p>
            <w:r>
              <w:t>4. Valuation (j)</w:t>
            </w:r>
          </w:p>
        </w:tc>
        <w:tc>
          <w:tcPr>
            <w:tcW w:type="dxa" w:w="7632"/>
          </w:tcPr>
          <w:p>
            <w:r>
              <w:t>Typed facts: 4.5 Deloitte &amp; Touche LLP (Big 4).</w:t>
            </w:r>
          </w:p>
          <w:p>
            <w:r>
              <w:t>4.1 Valuation policy &amp; NAV frequency (extracted-unverified): NAV FREQUENCY: monthly, per class, calculated by the fund administrator (The Bank of New York); NAV per share generally available within 15 calendar days after month-end; transaction price generally equals prior month's NAV per share, as determined monthly.</w:t>
            </w:r>
          </w:p>
          <w:p>
            <w:r>
              <w:t>4.2 Fair-value hierarchy (L1/2/3) (extracted-unverified): Recurring fair-value table, December 31, 2025 ($000s): ASSETS - investment in real estate debt L1 $0 / L2 $0 / L3 $915,431; derivatives L2 $83,223; total L1 $0 / L2 $83,223 / L3 $915,431 / $998,654.</w:t>
            </w:r>
          </w:p>
          <w:p>
            <w:r>
              <w:t>4.3 Independent valuation agent (extracted-unverified): NAMED: independent valuation advisor is Altus Group U.S. Inc. - performs quarterly update appraisals of consolidated real property, reviews the Advisor's monthly valuation updates for reasonableness, considers annual third-party appraisals in its quarterly updates, and reviews valuation guidelines/methodologies with the Advisor and board at least annually.</w:t>
            </w:r>
          </w:p>
          <w:p>
            <w:r>
              <w:t>4.4 Methodology by asset type (extracted-unverified): DCF primary methodology for real property; weighted-average key assumptions by property type at 12/31/2025 (Discount Rate / Exit Capitalization Rate): Multifamily 6.9% / 5.5%; Industrial 7.3% / 5.8%; Office 8.0% / 6.8%; Other 8.4% / 6.9%.</w:t>
            </w:r>
          </w:p>
          <w:p>
            <w:r>
              <w:t>4.5 Auditor &amp; opinion (extracted-unverified): Deloitte &amp; Touche LLP, New York, New York; 'We have served as the Company's auditor since 2017'; PCAOB ID No. 34; report dated March 20, 2026 (Big-4).</w:t>
            </w:r>
          </w:p>
          <w:p>
            <w:r>
              <w:t>4.6 NAV restatement history (extracted-unverified): None identified: searched stripped FY2025 10-K (filed 2026-03-20) and Q2-2026 10-Q (filed 2026-08-12) for 'restat' and 'error correction' on 2026-08-15 - zero NAV-restatement or error-correction events.</w:t>
            </w:r>
          </w:p>
          <w:p>
            <w:r>
              <w:t>Not applicable: 4.7 no market price for a non-listed NAV-transaction wrapper. 4.8 sub-annual return series not free-public for this wrapper. 4.9 CIT only.</w:t>
            </w:r>
          </w:p>
        </w:tc>
      </w:tr>
      <w:tr>
        <w:tc>
          <w:tcPr>
            <w:tcW w:type="dxa" w:w="1728"/>
          </w:tcPr>
          <w:p>
            <w:r>
              <w:t>5. Performance Benchmarks (k)</w:t>
            </w:r>
          </w:p>
        </w:tc>
        <w:tc>
          <w:tcPr>
            <w:tcW w:type="dxa" w:w="7632"/>
          </w:tcPr>
          <w:p>
            <w:r>
              <w:t>Typed facts: 5.3 NFI-ODCE selected, 9/12.</w:t>
            </w:r>
          </w:p>
          <w:p>
            <w:r>
              <w:t>5.1 Self-declared benchmark (extracted-unverified): ABSENCE DOCUMENTED (searched 2026-08-15): SREIT declares NO benchmark index anywhere in the FY2025 10-K - zero hits for MSCI, ODCE and NCREIF; 'NAREIT' appears only as the standard-setter defining FFO ('FFO is a standard REIT industry metric defined by [NAREIT]') plus one incidental director-bio credential (David B. Henry, former Vice Chairman of NAREIT's Board of Governors) - never as a comparison index; the word 'benchmark' appears only for interest-rate benchmarks (one-month SOFR, BBSY).</w:t>
            </w:r>
          </w:p>
          <w:p>
            <w:r>
              <w:t>5.3 Alt asset-class indices (computed): Candidates evaluated for the meaningful-benchmark slot, paragraph (k) (Tark benchmark rubric, 12 points, threshold 7 of 12, strategy gate below 2 of 3 ineligible, an index published by the fund's own adviser ineligible).</w:t>
            </w:r>
          </w:p>
          <w:p>
            <w:r>
              <w:t>5.4 Peer universe &amp; returns (computed): Peer cohort: non-traded real estate cohort (n=3: Blackstone Real Estate Income Trust Inc, Starwood Real Estate Income Trust, Inc., JLL Income Property Trust, Inc.).</w:t>
            </w:r>
          </w:p>
          <w:p>
            <w:r>
              <w:t>5.5 PME / Direct Alpha inputs (computed): PME inputs (computed, public market series Listed REIT investable proxy (VNQ), reference comparison, not the meaningful benchmark): window 2024-12-31 to 2025-12-31 (series comparison).</w:t>
            </w:r>
          </w:p>
          <w:p>
            <w:r>
              <w:t>5.6 Benchmark suitability memo (computed): Benchmark suitability (Tark benchmark rubric, 12 points).</w:t>
            </w:r>
          </w:p>
          <w:p>
            <w:r>
              <w:t>5.7 Case-law tracker (partial): Anderson v. Intel Corp. Investment Policy Committee, No. 25-498 (U.S.).</w:t>
            </w:r>
          </w:p>
        </w:tc>
      </w:tr>
      <w:tr>
        <w:tc>
          <w:tcPr>
            <w:tcW w:type="dxa" w:w="1728"/>
          </w:tcPr>
          <w:p>
            <w:r>
              <w:t>6. Complexity (l)</w:t>
            </w:r>
          </w:p>
        </w:tc>
        <w:tc>
          <w:tcPr>
            <w:tcW w:type="dxa" w:w="7632"/>
          </w:tcPr>
          <w:p>
            <w:r>
              <w:t>Typed facts: 6.1 non-traded REIT.</w:t>
            </w:r>
          </w:p>
          <w:p>
            <w:r>
              <w:t>6.1 Structure map (extracted-unverified): Starwood Real Estate Income Trust, Inc.: Maryland corporation formed June 22, 2017; non-listed perpetual NAV REIT (REIT election commencing taxable year ended December 31, 2019).</w:t>
            </w:r>
          </w:p>
          <w:p>
            <w:r>
              <w:t>6.2 Strategy &amp; instrument complexity (extracted-unverified): Strategy: invests primarily in stabilized, income-oriented commercial real estate and debt secured by commercial real estate.</w:t>
            </w:r>
          </w:p>
          <w:p>
            <w:r>
              <w:t>6.3 Conflicts &amp; affiliated transactions (extracted-unverified): Related-party web as printed: Due to affiliates $235,809K at 12/31/2025 ($275,601K at 12/31/2024).</w:t>
            </w:r>
          </w:p>
          <w:p>
            <w:r>
              <w:t>6.4 Tax reporting (1099 vs K-1) (partial): PARTIAL: investor tax form NOT literally printed in the on-disk documents - zero hits for '1099' in the stripped FY2025 10-K, Q2-2026 10-Q and 424B3 Supplement No. 7 (searched 2026-08-15).</w:t>
            </w:r>
          </w:p>
          <w:p>
            <w:r>
              <w:t>6.5 Service-provider web (partial): PARTIAL: names as printed in the 10-K - Auditor: Deloitte &amp; Touche LLP, New York (since 2017, PCAOB ID 34).</w:t>
            </w:r>
          </w:p>
          <w:p>
            <w:r>
              <w:t>Not applicable: 6.6 requires plan-specific recordkeeper/trading integration facts - workflow cell completed per plan engagement, not public product data. 6.7 requires plan-committee participant-communication assessment - workflow cell; product-side inputs already evidenced in 6.1/6.2/6.4 and 3.1/3.3. 6.8 workflow, not data.</w:t>
            </w:r>
          </w:p>
        </w:tc>
      </w:tr>
    </w:tbl>
    <w:p>
      <w:pPr>
        <w:pStyle w:val="Heading1"/>
      </w:pPr>
      <w:r>
        <w:t>Benchmark selection and justification</w:t>
      </w:r>
    </w:p>
    <w:p>
      <w:r>
        <w:t>Return basis for every comparison in this section: filed calendar-year returns (December fiscal year).</w:t>
      </w:r>
    </w:p>
    <w:p>
      <w:pPr>
        <w:pStyle w:val="Heading2"/>
      </w:pPr>
      <w:r>
        <w:t>Meaningful benchmark (paragraph (k)): NCREIF Fund Index - ODCE (private core RE) (score 9/12)</w:t>
      </w:r>
    </w:p>
    <w:p>
      <w:r>
        <w:t>Comparison not computed: cited, series not in the record: no comparison computed. The candidate is selected on its own descriptors. No number is substituted.</w:t>
      </w:r>
    </w:p>
    <w:p>
      <w:pPr>
        <w:pStyle w:val="ListBullet"/>
      </w:pPr>
      <w:r>
        <w:t>strategy_match 3/3: a private-market index of real estate for a core-plus non-traded real estate fund</w:t>
      </w:r>
    </w:p>
    <w:p>
      <w:pPr>
        <w:pStyle w:val="ListBullet"/>
      </w:pPr>
      <w:r>
        <w:t>risk_liquidity_match 2/3: appraisal-based index of periodically dealt funds (monthly dealing at NAV under 0% cap per month, repurchases suspended). The constituents' leverage regime is not typed in the record, so the full match is not claimed</w:t>
      </w:r>
    </w:p>
    <w:p>
      <w:pPr>
        <w:pStyle w:val="ListBullet"/>
      </w:pPr>
      <w:r>
        <w:t>provider_independence 2/2: provider unaffiliated with the fund (NCREIF): the registry affiliation map ties it to none of the fund's advisers</w:t>
      </w:r>
    </w:p>
    <w:p>
      <w:pPr>
        <w:pStyle w:val="ListBullet"/>
      </w:pPr>
      <w:r>
        <w:t>data_held 0/2: cited, series not in the record: no comparison can be computed yet</w:t>
      </w:r>
    </w:p>
    <w:p>
      <w:pPr>
        <w:pStyle w:val="ListBullet"/>
      </w:pPr>
      <w:r>
        <w:t>pricing_basis_match 2/2: both appraisal-based NAV series</w:t>
      </w:r>
    </w:p>
    <w:p>
      <w:pPr>
        <w:pStyle w:val="Heading2"/>
      </w:pPr>
      <w:r>
        <w:t>Reference comparison, not the meaningful benchmark: Listed REIT investable proxy (VNQ)</w:t>
      </w:r>
    </w:p>
    <w:p>
      <w:r>
        <w:t>Reference comparison on the highest-ranked held public market series: not the meaningful benchmark.</w:t>
      </w:r>
    </w:p>
    <w:p>
      <w:r>
        <w:t>Window 2024-12-31 to 2025-12-31: fund -2.4%/yr (filed calendar-year returns (December fiscal year)) vs the public series 3.25%/yr, KS-PME 0.9453, Direct Alpha -5.47%/yr. Disclosure: PME and alpha computed on appraisal-lagged NAVs are window-sensitive and can be smoothing-flattered. Conclusions should be read with the methodology's window-sensitivity analysis. Low confidence: 1-year window, shorter than 3 years.</w:t>
      </w:r>
    </w:p>
    <w:p>
      <w:r>
        <w:t>Two-point comparison: one contribution at the window start and one valuation at the end. Direct Alpha is the annualized form of the same two flows.</w:t>
      </w:r>
    </w:p>
    <w:p>
      <w:pPr>
        <w:pStyle w:val="Heading2"/>
      </w:pPr>
      <w:r>
        <w:t>Declared benchmark and SEC-required comparators (cell 5.1)</w:t>
      </w:r>
    </w:p>
    <w:p>
      <w:r>
        <w:t>The fund declares no benchmark: cell 5.1: SREIT declares no benchmark index anywhere in the FY2025 10-K.</w:t>
      </w:r>
    </w:p>
    <w:p>
      <w:pPr>
        <w:pStyle w:val="Heading2"/>
      </w:pPr>
      <w:r>
        <w:t>Peer comparison (paragraphs (g) and (h)): non-traded real estate cohort</w:t>
      </w:r>
    </w:p>
    <w:p>
      <w:r>
        <w:t>Peers: Blackstone Real Estate Income Trust Inc, JLL Income Property Trust, Inc.. This is the history of similar investments, not the benchmark, and it is never a public market equivalent.</w:t>
      </w:r>
    </w:p>
    <w:p>
      <w:r>
        <w:t>Composite refused: fewer than 3 peers remain after leaving Starwood Real Estate Income Trust, Inc. out (2: Blackstone Real Estate Income Trust Inc, JLL Income Property Trust, Inc.). The side-by-side table is shown without a ratio.</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n</w:t>
            </w:r>
          </w:p>
        </w:tc>
        <w:tc>
          <w:tcPr>
            <w:tcW w:type="dxa" w:w="1872"/>
          </w:tcPr>
          <w:p>
            <w:r>
              <w:t>Starwood Real Estate Income Trust, Inc.</w:t>
            </w:r>
          </w:p>
        </w:tc>
        <w:tc>
          <w:tcPr>
            <w:tcW w:type="dxa" w:w="1872"/>
          </w:tcPr>
          <w:p>
            <w:r>
              <w:t>Blackstone Real Estate Income Trust Inc</w:t>
            </w:r>
          </w:p>
        </w:tc>
        <w:tc>
          <w:tcPr>
            <w:tcW w:type="dxa" w:w="1872"/>
          </w:tcPr>
          <w:p>
            <w:r>
              <w:t>JLL Income Property Trust, Inc.</w:t>
            </w:r>
          </w:p>
        </w:tc>
      </w:tr>
      <w:tr>
        <w:tc>
          <w:tcPr>
            <w:tcW w:type="dxa" w:w="1872"/>
          </w:tcPr>
          <w:p>
            <w:r>
              <w:t>2023</w:t>
            </w:r>
          </w:p>
        </w:tc>
        <w:tc>
          <w:tcPr>
            <w:tcW w:type="dxa" w:w="1872"/>
          </w:tcPr>
          <w:p>
            <w:r>
              <w:t>1</w:t>
            </w:r>
          </w:p>
        </w:tc>
        <w:tc>
          <w:tcPr>
            <w:tcW w:type="dxa" w:w="1872"/>
          </w:tcPr>
          <w:p>
            <w:r>
              <w:t>n/a</w:t>
            </w:r>
          </w:p>
        </w:tc>
        <w:tc>
          <w:tcPr>
            <w:tcW w:type="dxa" w:w="1872"/>
          </w:tcPr>
          <w:p>
            <w:r>
              <w:t>-0.5%</w:t>
            </w:r>
          </w:p>
        </w:tc>
        <w:tc>
          <w:tcPr>
            <w:tcW w:type="dxa" w:w="1872"/>
          </w:tcPr>
          <w:p>
            <w:r>
              <w:t>n/a</w:t>
            </w:r>
          </w:p>
        </w:tc>
      </w:tr>
      <w:tr>
        <w:tc>
          <w:tcPr>
            <w:tcW w:type="dxa" w:w="1872"/>
          </w:tcPr>
          <w:p>
            <w:r>
              <w:t>2024</w:t>
            </w:r>
          </w:p>
        </w:tc>
        <w:tc>
          <w:tcPr>
            <w:tcW w:type="dxa" w:w="1872"/>
          </w:tcPr>
          <w:p>
            <w:r>
              <w:t>1</w:t>
            </w:r>
          </w:p>
        </w:tc>
        <w:tc>
          <w:tcPr>
            <w:tcW w:type="dxa" w:w="1872"/>
          </w:tcPr>
          <w:p>
            <w:r>
              <w:t>n/a</w:t>
            </w:r>
          </w:p>
        </w:tc>
        <w:tc>
          <w:tcPr>
            <w:tcW w:type="dxa" w:w="1872"/>
          </w:tcPr>
          <w:p>
            <w:r>
              <w:t>2%</w:t>
            </w:r>
          </w:p>
        </w:tc>
        <w:tc>
          <w:tcPr>
            <w:tcW w:type="dxa" w:w="1872"/>
          </w:tcPr>
          <w:p>
            <w:r>
              <w:t>n/a</w:t>
            </w:r>
          </w:p>
        </w:tc>
      </w:tr>
      <w:tr>
        <w:tc>
          <w:tcPr>
            <w:tcW w:type="dxa" w:w="1872"/>
          </w:tcPr>
          <w:p>
            <w:r>
              <w:t>2025</w:t>
            </w:r>
          </w:p>
        </w:tc>
        <w:tc>
          <w:tcPr>
            <w:tcW w:type="dxa" w:w="1872"/>
          </w:tcPr>
          <w:p>
            <w:r>
              <w:t>2</w:t>
            </w:r>
          </w:p>
        </w:tc>
        <w:tc>
          <w:tcPr>
            <w:tcW w:type="dxa" w:w="1872"/>
          </w:tcPr>
          <w:p>
            <w:r>
              <w:t>-2.4%</w:t>
            </w:r>
          </w:p>
        </w:tc>
        <w:tc>
          <w:tcPr>
            <w:tcW w:type="dxa" w:w="1872"/>
          </w:tcPr>
          <w:p>
            <w:r>
              <w:t>8.1%</w:t>
            </w:r>
          </w:p>
        </w:tc>
        <w:tc>
          <w:tcPr>
            <w:tcW w:type="dxa" w:w="1872"/>
          </w:tcPr>
          <w:p>
            <w:r>
              <w:t>n/a</w:t>
            </w:r>
          </w:p>
        </w:tc>
      </w:tr>
    </w:tbl>
    <w:p>
      <w:r>
        <w:t>The cohort is the roster's 3 surviving, still-filing products. Funds that closed, merged, or stopped filing are not in it, so any composite carries survivorship bias in the fund's favor. Membership rationales and exclusions are in the roster record.</w:t>
      </w:r>
    </w:p>
    <w:p>
      <w:r>
        <w:t>Members span one wrapper type (non-traded REIT) and one leverage regime (charter-level borrowing limits, no 1940-Act coverage test). Fee bases, leverage and exit rights are not like-for-like, so the comparison is a history of similar investments, not a like-for-like index.</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2880"/>
          </w:tcPr>
          <w:p>
            <w:r>
              <w:t>Candidate</w:t>
            </w:r>
          </w:p>
        </w:tc>
        <w:tc>
          <w:tcPr>
            <w:tcW w:type="dxa" w:w="1008"/>
          </w:tcPr>
          <w:p>
            <w:r>
              <w:t>Score</w:t>
            </w:r>
          </w:p>
        </w:tc>
        <w:tc>
          <w:tcPr>
            <w:tcW w:type="dxa" w:w="5472"/>
          </w:tcPr>
          <w:p>
            <w:r>
              <w:t>Reason and criteria</w:t>
            </w:r>
          </w:p>
        </w:tc>
      </w:tr>
      <w:tr>
        <w:tc>
          <w:tcPr>
            <w:tcW w:type="dxa" w:w="2880"/>
          </w:tcPr>
          <w:p>
            <w:r>
              <w:t>Listed REIT investable proxy (VNQ)</w:t>
            </w:r>
          </w:p>
        </w:tc>
        <w:tc>
          <w:tcPr>
            <w:tcW w:type="dxa" w:w="1008"/>
          </w:tcPr>
          <w:p>
            <w:r>
              <w:t>8/12</w:t>
            </w:r>
          </w:p>
        </w:tc>
        <w:tc>
          <w:tcPr>
            <w:tcW w:type="dxa" w:w="5472"/>
          </w:tcPr>
          <w:p>
            <w:r>
              <w:t>ranked below the selected candidate: 8/12 vs 9/12 for NFI-ODCE Criteria: strategy_match 2/3: the public-market version of the asset class (listed REITs for core-plus non-traded real estate), risk_liquidity_match 1/3: daily-liquid market series against a semi-liquid NAV fund (monthly dealing at NAV under 0% cap per month, repurchases suspended): volatility and liquidity regimes differ, the PME construct exists for exactly this comparison, provider_independence 2/2: provider unaffiliated with the fund (Vanguard / MSCI US REIT): the registry affiliation map ties it to none of the fund's advisers, data_held 2/2: daily public market series held (exchange-traded proxy, Yahoo adjusted close), pricing_basis_match 1/2: a market-priced series standing in for an appraisal-based fund: comparable only through a PME, which is window-sensitive on appraisal-lagged NAVs.</w:t>
            </w:r>
          </w:p>
        </w:tc>
      </w:tr>
    </w:tbl>
    <w:p>
      <w:pPr>
        <w:pStyle w:val="Heading1"/>
      </w:pPr>
      <w:r>
        <w:t>Product-to-plan liquidity match</w:t>
      </w:r>
    </w:p>
    <w:p>
      <w:r>
        <w:t>Plan: US casual-dining restaurant group 401(k) plan (~$1.6B, FL). verdict is structural (typed facts, cells 3.1, 3.3, 2.7, plan-independent). scenario_verdict is ILLUSTRATIVE (the plan's filed outflow proxy as the base demand and the sliders as the stress, against the same capacity, per plan).</w:t>
      </w:r>
    </w:p>
    <w:p>
      <w:pPr>
        <w:pStyle w:val="Heading2"/>
      </w:pPr>
      <w:r>
        <w:t>Structural verdict (typed facts, plan-independent)</w:t>
      </w:r>
    </w:p>
    <w:p>
      <w:r>
        <w:t>MISALIGNED</w:t>
      </w:r>
    </w:p>
    <w:p>
      <w:pPr>
        <w:pStyle w:val="ListBullet"/>
      </w:pPr>
      <w:r>
        <w:t>STRUCTURAL GAP: a participant-directed 404(c) menu assumes daily pricing and daily participant liquidity, whereas repurchases are suspended (cell 3.1). Direct DIA use requires a bridging structure: CIT sleeve, managed account, or TDF sleeve (cell 3.5).</w:t>
      </w:r>
    </w:p>
    <w:p>
      <w:pPr>
        <w:pStyle w:val="ListBullet"/>
      </w:pPr>
      <w:r>
        <w:t>Repurchase program suspended (cell 3.1): ordinary repurchase requests are not accepted, so participant liquidity depends on the program reopening. Capacity is 0%. Gating precedent on top (3.3).</w:t>
      </w:r>
    </w:p>
    <w:p>
      <w:pPr>
        <w:pStyle w:val="ListBullet"/>
      </w:pPr>
      <w:r>
        <w:t>Early repurchase economics: 5%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non-traded REIT</w:t>
            </w:r>
          </w:p>
        </w:tc>
        <w:tc>
          <w:tcPr>
            <w:tcW w:type="dxa" w:w="1152"/>
          </w:tcPr>
          <w:p>
            <w:r>
              <w:t>6.1</w:t>
            </w:r>
          </w:p>
        </w:tc>
      </w:tr>
      <w:tr>
        <w:tc>
          <w:tcPr>
            <w:tcW w:type="dxa" w:w="2448"/>
          </w:tcPr>
          <w:p>
            <w:r>
              <w:t>Dealing terms</w:t>
            </w:r>
          </w:p>
        </w:tc>
        <w:tc>
          <w:tcPr>
            <w:tcW w:type="dxa" w:w="5760"/>
          </w:tcPr>
          <w:p>
            <w:r>
              <w:t>repurchases suspended since the April 29, 2026 amendment (3.1)</w:t>
            </w:r>
          </w:p>
        </w:tc>
        <w:tc>
          <w:tcPr>
            <w:tcW w:type="dxa" w:w="1152"/>
          </w:tcPr>
          <w:p>
            <w:r>
              <w:t>3.1</w:t>
            </w:r>
          </w:p>
        </w:tc>
      </w:tr>
      <w:tr>
        <w:tc>
          <w:tcPr>
            <w:tcW w:type="dxa" w:w="2448"/>
          </w:tcPr>
          <w:p>
            <w:r>
              <w:t>Repurchase caps</w:t>
            </w:r>
          </w:p>
        </w:tc>
        <w:tc>
          <w:tcPr>
            <w:tcW w:type="dxa" w:w="5760"/>
          </w:tcPr>
          <w:p>
            <w:r>
              <w:t>0% per month for ordinary requests (suspended), 0% per year</w:t>
            </w:r>
          </w:p>
        </w:tc>
        <w:tc>
          <w:tcPr>
            <w:tcW w:type="dxa" w:w="1152"/>
          </w:tcPr>
          <w:p>
            <w:r>
              <w:t>3.1</w:t>
            </w:r>
          </w:p>
        </w:tc>
      </w:tr>
      <w:tr>
        <w:tc>
          <w:tcPr>
            <w:tcW w:type="dxa" w:w="2448"/>
          </w:tcPr>
          <w:p>
            <w:r>
              <w:t>Annual capacity (binding cap)</w:t>
            </w:r>
          </w:p>
        </w:tc>
        <w:tc>
          <w:tcPr>
            <w:tcW w:type="dxa" w:w="5760"/>
          </w:tcPr>
          <w:p>
            <w:r>
              <w:t>0% of the position per year</w:t>
            </w:r>
          </w:p>
        </w:tc>
        <w:tc>
          <w:tcPr>
            <w:tcW w:type="dxa" w:w="1152"/>
          </w:tcPr>
          <w:p>
            <w:r>
              <w:t>3.1</w:t>
            </w:r>
          </w:p>
        </w:tc>
      </w:tr>
      <w:tr>
        <w:tc>
          <w:tcPr>
            <w:tcW w:type="dxa" w:w="2448"/>
          </w:tcPr>
          <w:p>
            <w:r>
              <w:t>Gating history</w:t>
            </w:r>
          </w:p>
        </w:tc>
        <w:tc>
          <w:tcPr>
            <w:tcW w:type="dxa" w:w="5760"/>
          </w:tcPr>
          <w:p>
            <w:r>
              <w:t>yes, prorated under stress</w:t>
            </w:r>
          </w:p>
        </w:tc>
        <w:tc>
          <w:tcPr>
            <w:tcW w:type="dxa" w:w="1152"/>
          </w:tcPr>
          <w:p>
            <w:r>
              <w:t>3.3</w:t>
            </w:r>
          </w:p>
        </w:tc>
      </w:tr>
      <w:tr>
        <w:tc>
          <w:tcPr>
            <w:tcW w:type="dxa" w:w="2448"/>
          </w:tcPr>
          <w:p>
            <w:r>
              <w:t>Repurchase program status</w:t>
            </w:r>
          </w:p>
        </w:tc>
        <w:tc>
          <w:tcPr>
            <w:tcW w:type="dxa" w:w="5760"/>
          </w:tcPr>
          <w:p>
            <w:r>
              <w:t>suspended</w:t>
            </w:r>
          </w:p>
        </w:tc>
        <w:tc>
          <w:tcPr>
            <w:tcW w:type="dxa" w:w="1152"/>
          </w:tcPr>
          <w:p>
            <w:r>
              <w:t>3.1</w:t>
            </w:r>
          </w:p>
        </w:tc>
      </w:tr>
      <w:tr>
        <w:tc>
          <w:tcPr>
            <w:tcW w:type="dxa" w:w="2448"/>
          </w:tcPr>
          <w:p>
            <w:r>
              <w:t>Early repurchase fee</w:t>
            </w:r>
          </w:p>
        </w:tc>
        <w:tc>
          <w:tcPr>
            <w:tcW w:type="dxa" w:w="5760"/>
          </w:tcPr>
          <w:p>
            <w:r>
              <w:t>5% if held &lt; 1 year (2.7)</w:t>
            </w:r>
          </w:p>
        </w:tc>
        <w:tc>
          <w:tcPr>
            <w:tcW w:type="dxa" w:w="1152"/>
          </w:tcPr>
          <w:p>
            <w:r>
              <w:t>2.7</w:t>
            </w:r>
          </w:p>
        </w:tc>
      </w:tr>
      <w:tr>
        <w:tc>
          <w:tcPr>
            <w:tcW w:type="dxa" w:w="2448"/>
          </w:tcPr>
          <w:p>
            <w:r>
              <w:t>Fund net assets (for the dollar capacity)</w:t>
            </w:r>
          </w:p>
        </w:tc>
        <w:tc>
          <w:tcPr>
            <w:tcW w:type="dxa" w:w="5760"/>
          </w:tcPr>
          <w:p>
            <w:r>
              <w:t>not typed: aggregate NAV not yet carried into a typed cell. Verification-queue item</w:t>
            </w:r>
          </w:p>
        </w:tc>
        <w:tc>
          <w:tcPr>
            <w:tcW w:type="dxa" w:w="1152"/>
          </w:tcPr>
          <w:p>
            <w:r>
              <w:t>1.1</w:t>
            </w:r>
          </w:p>
        </w:tc>
      </w:tr>
    </w:tbl>
    <w:p>
      <w:pPr>
        <w:pStyle w:val="Heading2"/>
      </w:pPr>
      <w:r>
        <w:t>Scenario (ILLUSTRATIVE, this plan)</w:t>
      </w:r>
    </w:p>
    <w:p>
      <w:r>
        <w:t>Plan inputs (Form 5500): net assets $1.6B, liquidity tail 28.2% of accounts (12,176 separated participants with balances), filed outflow proxy 10.8% of beginning net assets per year (Schedule H totals of the plan's Form 5500 for plan year 2024-05-01 to 2025-04-30, from the plan record: total expenses less administrative expenses over beginning net assets, an upper bound on benefit payments while Schedule H line 2e is not in the record).</w:t>
      </w:r>
    </w:p>
    <w:p>
      <w:r>
        <w:t>Base demand (filed outflow proxy applied to a 5% allocation = $79.3M): $8.5M/yr = 10.8% of the position per year vs annual wrapper capacity 0%.</w:t>
      </w:r>
    </w:p>
    <w:p>
      <w:r>
        <w:t>Slider assumption (adjustable on the site, not a fact): tail turnover 20%/yr, active turnover 5%/yr, 9.2% of the position per year = $7.3M/yr, shown beside the filed rate, not blended with it.</w:t>
      </w:r>
    </w:p>
    <w:p>
      <w:r>
        <w:t>Stressed (the filed outflow proxy plus the increment the sliders add under stress (tail turnover x2, active turnover x1.5 over the slider assumption)): demand $14.4M/yr = 18.2% of the position. EXCEEDS annual wrapper capacity (18.2% vs 0%). Unmet demand rolls into later windows (gating-equivalent outcome).</w:t>
      </w:r>
    </w:p>
    <w:p>
      <w:r>
        <w:t>Fund capacity in dollars: not computable, the fund's net assets are not typed in the record (aggregate NAV not yet carried into a typed cell. Verification-queue item), so the plan's dollar demand cannot be set against the fund's dollar capacity and the allocation slider is not shown.</w:t>
      </w:r>
    </w:p>
    <w:p>
      <w:r>
        <w:t>Scenario verdict (ILLUSTRATIVE, this plan): MISALIGNED.</w:t>
      </w:r>
    </w:p>
    <w:p>
      <w:pPr>
        <w:pStyle w:val="ListBullet"/>
      </w:pPr>
      <w:r>
        <w:t>Capacity: repurchases are suspended (cell 3.1): ordinary requests are not accepted. Capacity is 0% until the program reopens.</w:t>
      </w:r>
    </w:p>
    <w:p>
      <w:pPr>
        <w:pStyle w:val="ListBullet"/>
      </w:pPr>
      <w:r>
        <w:t>Filed outflow proxy (Schedule H, plan year 2024-05-01 to 2025-04-30): 10.8% of the position per year vs 0% annual wrapper capacity, the plan's total expenses less administrative expenses over beginning net assets, applied to the position. EXCEEDS: repurchases are closed, so every request waits for the program to reopen.</w:t>
      </w:r>
    </w:p>
    <w:p>
      <w:pPr>
        <w:pStyle w:val="ListBullet"/>
      </w:pPr>
      <w:r>
        <w:t>Slider assumption (illustrative): 9.2% of the position per year vs 0% annual wrapper capacity, from tail turnover 20%/yr on the 28.2% of accounts that are separated and active turnover 5%/yr on the rest. Shown beside the filed rate, not blended with it. EXCEEDS: repurchases are closed, so every request waits for the program to reopen.</w:t>
      </w:r>
    </w:p>
    <w:p>
      <w:pPr>
        <w:pStyle w:val="ListBullet"/>
      </w:pPr>
      <w:r>
        <w:t>Scenario verdict (ILLUSTRATIVE, this plan): misaligned. Misaligned when the filed outflow proxy exceeds the annual wrapper capacity, conditional-weak when the stressed demand exceeds it, conditional otherwise. It moves with the plan's filing and the sliders. Proration assumption: an oversubscribed offer is filled pro rata and the unfilled remainder waits for the next window.</w:t>
      </w:r>
    </w:p>
    <w:p>
      <w:pPr>
        <w:pStyle w:val="ListBullet"/>
      </w:pPr>
      <w:r>
        <w:t>Schedule H benefit-payment line 2e is not yet in the plan record. The filed outflow proxy (total expenses less administrative expenses over beginning net assets) stands in for it as the base demand, and the turnover sliders are the stress around it.</w:t>
      </w:r>
    </w:p>
    <w:p>
      <w:r>
        <w:t>Cited: cell 2.7, cell 3.1, cell 3.3, cell 3.7, plan: plan_restaurant_hourly.json (Form 5500, plan year 2024-05-01 to 2025-04-30).</w:t>
      </w:r>
    </w:p>
    <w:p>
      <w:pPr>
        <w:pStyle w:val="Heading1"/>
      </w:pPr>
      <w:r>
        <w:t>Peer cohort placement</w:t>
      </w:r>
    </w:p>
    <w:p>
      <w:r>
        <w:t>Evidence depth tier: COHORT. Cohort: Non-traded NAV REITs (n=3). Membership rationale: Non-traded monthly-NAV REIT - breit's closest structural twin (class structure, repurchase plan, 2022-24 stress history).</w:t>
      </w:r>
    </w:p>
    <w:p>
      <w:r>
        <w:t>Cohort placement (non-traded real estate cohort): mgmt fee: at the cohort median of 1.25 (n=3, too small for percentile language) | expense ratio (bases differ, see notes): fact unavailable for this member | repurchase cap: below the cohort median of 2 (n=3, too small for percentile language). Statistics and per-member values are in the cohort artifact, membership rationales in the typed facts.</w:t>
      </w:r>
    </w:p>
    <w:p>
      <w:r>
        <w:t>Cohort composite return: not formed, members report on different year ends (breit: calendar years, sreit: calendar years, jll_ipt: no period returns), so no equal-weight composite return is formed. The table shows each member's own periods with n.</w:t>
      </w:r>
    </w:p>
    <w:p>
      <w:pPr>
        <w:pStyle w:val="ListBullet"/>
      </w:pPr>
      <w:r>
        <w:t>Caveat: NAV-CADENCE MIX: daily, monthly, and quarterly NAV processes embed different appraisal smoothing. Volatility and drawdown comparisons inherit that difference (see de-smoothing lab). [typed per product: breit: monthly, jll_ipt: daily, sreit: monthly]</w:t>
      </w:r>
    </w:p>
    <w:p>
      <w:r>
        <w:t>Cohort exclusion log: every candidate considered and not admitted is recorded with its reason in the roster decisions record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casual-dining restaurant group 401(k) plan (~$1.6B, FL).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MISALIGNED (typed facts, plan-independent). Scenario verdict under US casual-dining restaurant group 401(k) plan (~$1.6B, FL) (ILLUSTRATIVE): MISALIGNED.</w:t>
      </w:r>
    </w:p>
    <w:p>
      <w:r>
        <w:t>Meaningful benchmark (paragraph (k)): NCREIF Fund Index - ODCE (private core RE) at 9/12, cited, series not in the record. Peer comparison (paragraphs (g) and (h)): composite refused, fewer than 3 peers remain after leaving Starwood Real Estate Income Trust, Inc. out (2: Blackstone Real Estate Income Trust Inc, JLL Income Property Trust, Inc.).</w:t>
      </w:r>
    </w:p>
    <w:p>
      <w:r>
        <w:t>Flags raised by the record (each restates a typed value or verdict already in the artifacts, with its source):</w:t>
      </w:r>
    </w:p>
    <w:p>
      <w:pPr>
        <w:pStyle w:val="ListBullet"/>
      </w:pPr>
      <w:r>
        <w:t>Benchmark: the meaningful benchmark carries no computed comparison (cited, series not in the record: no comparison computed) (benchmark selection)</w:t>
      </w:r>
    </w:p>
    <w:p>
      <w:pPr>
        <w:pStyle w:val="ListBullet"/>
      </w:pPr>
      <w:r>
        <w:t>Benchmark: low confidence: 1-year window, shorter than 3 years (benchmark comparison)</w:t>
      </w:r>
    </w:p>
    <w:p>
      <w:pPr>
        <w:pStyle w:val="ListBullet"/>
      </w:pPr>
      <w:r>
        <w:t>Peer comparison: composite refused, fewer than 3 peers remain after leaving Starwood Real Estate Income Trust, Inc. out (2: Blackstone Real Estate Income Trust Inc, JLL Income Property Trust, Inc.) (cell 1.12)</w:t>
      </w:r>
    </w:p>
    <w:p>
      <w:pPr>
        <w:pStyle w:val="ListBullet"/>
      </w:pPr>
      <w:r>
        <w:t>Liquidity: repurchase program suspended (cells 3.1, 3.3)</w:t>
      </w:r>
    </w:p>
    <w:p>
      <w:pPr>
        <w:pStyle w:val="ListBullet"/>
      </w:pPr>
      <w:r>
        <w:t>Liquidity: gating precedent, repurchases prorated under stress (cell 3.3)</w:t>
      </w:r>
    </w:p>
    <w:p>
      <w:pPr>
        <w:pStyle w:val="ListBullet"/>
      </w:pPr>
      <w:r>
        <w:t>Liquidity: ILLUSTRATIVE scenario verdict misaligned under this plan (the filed outflow proxy or the stressed demand above wrapper capacity)</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in this build and quoted where cited.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24, verified 0, computed 11, partial 6, fetched 1, n/a 13, pending 0. 42 of 42 resolvable, 0 verified, 13 n/a by wrapper.</w:t>
      </w:r>
    </w:p>
    <w:p>
      <w:r>
        <w:t>Of the 41 evidenced cells, 41 carry a source document, 41 a section, 30 a verbatim quote (computed cells carry their computation and inputs instead of a quote) and 41 an extractor. No cell is verified: no cell has been independently re-checked by a person, and verified_by is empty on every row. Cells marked extracted-unverified were extracted by an agent from the cited document.</w:t>
      </w:r>
    </w:p>
    <w:p>
      <w:pPr>
        <w:pStyle w:val="Heading2"/>
      </w:pPr>
      <w:r>
        <w:t>Sources cited</w:t>
      </w:r>
    </w:p>
    <w:p>
      <w:r>
        <w:t>Each evidenced cell's source document as written in the evidence ledger, with the SEC accession and EDGAR URL resolved against the filing manifest.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Form 10-K FY2025 (filed 2026-03-20) Item 5; Form 10-Q Q2-2026 (filed 2026-08-12); 424B3 Supplement No. 7 (dated 2026-08-14)</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p>
            <w:r>
              <w:t>424B3 2026-08-14 accession 0001193125-26-351388 https://www.sec.gov/Archives/edgar/data/1711929/000119312526351388/ck0001711929-20260813.htm</w:t>
            </w:r>
          </w:p>
        </w:tc>
      </w:tr>
      <w:tr>
        <w:tc>
          <w:tcPr>
            <w:tcW w:type="dxa" w:w="720"/>
          </w:tcPr>
          <w:p>
            <w:r>
              <w:t>1.2</w:t>
            </w:r>
          </w:p>
        </w:tc>
        <w:tc>
          <w:tcPr>
            <w:tcW w:type="dxa" w:w="3456"/>
          </w:tcPr>
          <w:p>
            <w:r>
              <w:t>Form 10-K FY2025 (filed 2026-03-20) MD&amp;A '2025 Highlights'; Form 10-Q Q2-2026 (filed 2026-08-12) MD&amp;A '2026 Highlights'</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1.3</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1.4</w:t>
            </w:r>
          </w:p>
        </w:tc>
        <w:tc>
          <w:tcPr>
            <w:tcW w:type="dxa" w:w="3456"/>
          </w:tcPr>
          <w:p>
            <w:r>
              <w:t>Form 10-K FY2025 (filed 2026-03-20) MD&amp;A Distributions; Form 10-Q Q2-2026 (filed 2026-08-12) Recent Developments and 2026 Highlights</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1.5</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1.8</w:t>
            </w:r>
          </w:p>
        </w:tc>
        <w:tc>
          <w:tcPr>
            <w:tcW w:type="dxa" w:w="3456"/>
          </w:tcPr>
          <w:p>
            <w:r>
              <w:t>benchmark selection artifact (Starwood Real Estate Income Trust, Inc.)</w:t>
            </w:r>
          </w:p>
        </w:tc>
        <w:tc>
          <w:tcPr>
            <w:tcW w:type="dxa" w:w="5184"/>
          </w:tcPr>
          <w:p>
            <w:r>
              <w:t>accession not on record: no filing reference in the source field</w:t>
            </w:r>
          </w:p>
        </w:tc>
      </w:tr>
      <w:tr>
        <w:tc>
          <w:tcPr>
            <w:tcW w:type="dxa" w:w="720"/>
          </w:tcPr>
          <w:p>
            <w:r>
              <w:t>1.9</w:t>
            </w:r>
          </w:p>
        </w:tc>
        <w:tc>
          <w:tcPr>
            <w:tcW w:type="dxa" w:w="3456"/>
          </w:tcPr>
          <w:p>
            <w:r>
              <w:t>analytics supplement artifact (stress windows)</w:t>
            </w:r>
          </w:p>
        </w:tc>
        <w:tc>
          <w:tcPr>
            <w:tcW w:type="dxa" w:w="5184"/>
          </w:tcPr>
          <w:p>
            <w:r>
              <w:t>accession not on record: no filing reference in the source field</w:t>
            </w:r>
          </w:p>
        </w:tc>
      </w:tr>
      <w:tr>
        <w:tc>
          <w:tcPr>
            <w:tcW w:type="dxa" w:w="720"/>
          </w:tcPr>
          <w:p>
            <w:r>
              <w:t>1.11</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1.12</w:t>
            </w:r>
          </w:p>
        </w:tc>
        <w:tc>
          <w:tcPr>
            <w:tcW w:type="dxa" w:w="3456"/>
          </w:tcPr>
          <w:p>
            <w:r>
              <w:t>benchmark selection artifact (Starwood Real Estate Income Trust, Inc.)</w:t>
            </w:r>
          </w:p>
        </w:tc>
        <w:tc>
          <w:tcPr>
            <w:tcW w:type="dxa" w:w="5184"/>
          </w:tcPr>
          <w:p>
            <w:r>
              <w:t>accession not on record: no filing reference in the source field</w:t>
            </w:r>
          </w:p>
        </w:tc>
      </w:tr>
      <w:tr>
        <w:tc>
          <w:tcPr>
            <w:tcW w:type="dxa" w:w="720"/>
          </w:tcPr>
          <w:p>
            <w:r>
              <w:t>2.1</w:t>
            </w:r>
          </w:p>
        </w:tc>
        <w:tc>
          <w:tcPr>
            <w:tcW w:type="dxa" w:w="3456"/>
          </w:tcPr>
          <w:p>
            <w:r>
              <w:t>Form 10-K FY2025 (filed 2026-03-20); Form 10-Q Q2-2026 (filed 2026-08-12) Note 10</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2.2</w:t>
            </w:r>
          </w:p>
        </w:tc>
        <w:tc>
          <w:tcPr>
            <w:tcW w:type="dxa" w:w="3456"/>
          </w:tcPr>
          <w:p>
            <w:r>
              <w:t>Form 10-K FY2025 (filed 2026-03-20); Form 10-Q Q2-2026 (filed 2026-08-12) Note 10</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2.4</w:t>
            </w:r>
          </w:p>
        </w:tc>
        <w:tc>
          <w:tcPr>
            <w:tcW w:type="dxa" w:w="3456"/>
          </w:tcPr>
          <w:p>
            <w:r>
              <w:t>Form 10-K FY2025 (filed 2026-03-20); Form 10-Q Q2-2026 (filed 2026-08-12)</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2.5</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2.6</w:t>
            </w:r>
          </w:p>
        </w:tc>
        <w:tc>
          <w:tcPr>
            <w:tcW w:type="dxa" w:w="3456"/>
          </w:tcPr>
          <w:p>
            <w:r>
              <w:t>Form 10-K FY2025 (filed 2026-03-20); Form 10-Q Q2-2026 (filed 2026-08-12)</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2.7</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2.9</w:t>
            </w:r>
          </w:p>
        </w:tc>
        <w:tc>
          <w:tcPr>
            <w:tcW w:type="dxa" w:w="3456"/>
          </w:tcPr>
          <w:p>
            <w:r>
              <w:t>cohort artifact (non-traded real estate cohort)</w:t>
            </w:r>
          </w:p>
        </w:tc>
        <w:tc>
          <w:tcPr>
            <w:tcW w:type="dxa" w:w="5184"/>
          </w:tcPr>
          <w:p>
            <w:r>
              <w:t>accession not on record: no filing reference in the source field</w:t>
            </w:r>
          </w:p>
        </w:tc>
      </w:tr>
      <w:tr>
        <w:tc>
          <w:tcPr>
            <w:tcW w:type="dxa" w:w="720"/>
          </w:tcPr>
          <w:p>
            <w:r>
              <w:t>3.1</w:t>
            </w:r>
          </w:p>
        </w:tc>
        <w:tc>
          <w:tcPr>
            <w:tcW w:type="dxa" w:w="3456"/>
          </w:tcPr>
          <w:p>
            <w:r>
              <w:t>Form 10-K FY2025 (filed 2026-03-20) Item 5; Form 10-Q Q2-2026 (filed 2026-08-12) Note 9 and Part II Item 2</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3.2</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3.3</w:t>
            </w:r>
          </w:p>
        </w:tc>
        <w:tc>
          <w:tcPr>
            <w:tcW w:type="dxa" w:w="3456"/>
          </w:tcPr>
          <w:p>
            <w:r>
              <w:t>Form 10-K FY2025 (filed 2026-03-20) Item 5 and cash-flow statement; Form 10-Q Q2-2026 (filed 2026-08-12) Part II Item 2 and Recent Developments; 424B3 Supplement No. 7 (dated 2026-08-14)</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p>
            <w:r>
              <w:t>424B3 2026-08-14 accession 0001193125-26-351388 https://www.sec.gov/Archives/edgar/data/1711929/000119312526351388/ck0001711929-20260813.htm</w:t>
            </w:r>
          </w:p>
        </w:tc>
      </w:tr>
      <w:tr>
        <w:tc>
          <w:tcPr>
            <w:tcW w:type="dxa" w:w="720"/>
          </w:tcPr>
          <w:p>
            <w:r>
              <w:t>3.4</w:t>
            </w:r>
          </w:p>
        </w:tc>
        <w:tc>
          <w:tcPr>
            <w:tcW w:type="dxa" w:w="3456"/>
          </w:tcPr>
          <w:p>
            <w:r>
              <w:t>Form 10-K FY2025 (filed 2026-03-20) MD&amp;A Liquidity and Capital Resources; Form 10-Q Q2-2026 (filed 2026-08-12) Note 6 and MD&amp;A</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3.6</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3.7</w:t>
            </w:r>
          </w:p>
        </w:tc>
        <w:tc>
          <w:tcPr>
            <w:tcW w:type="dxa" w:w="3456"/>
          </w:tcPr>
          <w:p>
            <w:r>
              <w:t>plan records on file (Form 5500), read per plan by the liquidity match</w:t>
            </w:r>
          </w:p>
        </w:tc>
        <w:tc>
          <w:tcPr>
            <w:tcW w:type="dxa" w:w="5184"/>
          </w:tcPr>
          <w:p>
            <w:r>
              <w:t>accession not on record: no filing reference in the source field</w:t>
            </w:r>
          </w:p>
        </w:tc>
      </w:tr>
      <w:tr>
        <w:tc>
          <w:tcPr>
            <w:tcW w:type="dxa" w:w="720"/>
          </w:tcPr>
          <w:p>
            <w:r>
              <w:t>3.8</w:t>
            </w:r>
          </w:p>
        </w:tc>
        <w:tc>
          <w:tcPr>
            <w:tcW w:type="dxa" w:w="3456"/>
          </w:tcPr>
          <w:p>
            <w:r>
              <w:t>liquidity match artifacts (Starwood Real Estate Income Trust, Inc., four reference plans)</w:t>
            </w:r>
          </w:p>
        </w:tc>
        <w:tc>
          <w:tcPr>
            <w:tcW w:type="dxa" w:w="5184"/>
          </w:tcPr>
          <w:p>
            <w:r>
              <w:t>accession not on record: no filing reference in the source field</w:t>
            </w:r>
          </w:p>
        </w:tc>
      </w:tr>
      <w:tr>
        <w:tc>
          <w:tcPr>
            <w:tcW w:type="dxa" w:w="720"/>
          </w:tcPr>
          <w:p>
            <w:r>
              <w:t>3.9</w:t>
            </w:r>
          </w:p>
        </w:tc>
        <w:tc>
          <w:tcPr>
            <w:tcW w:type="dxa" w:w="3456"/>
          </w:tcPr>
          <w:p>
            <w:r>
              <w:t>liquidity match artifacts (Starwood Real Estate Income Trust, Inc., four reference plans)</w:t>
            </w:r>
          </w:p>
        </w:tc>
        <w:tc>
          <w:tcPr>
            <w:tcW w:type="dxa" w:w="5184"/>
          </w:tcPr>
          <w:p>
            <w:r>
              <w:t>accession not on record: no filing reference in the source field</w:t>
            </w:r>
          </w:p>
        </w:tc>
      </w:tr>
      <w:tr>
        <w:tc>
          <w:tcPr>
            <w:tcW w:type="dxa" w:w="720"/>
          </w:tcPr>
          <w:p>
            <w:r>
              <w:t>4.1</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4.2</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4.3</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4.4</w:t>
            </w:r>
          </w:p>
        </w:tc>
        <w:tc>
          <w:tcPr>
            <w:tcW w:type="dxa" w:w="3456"/>
          </w:tcPr>
          <w:p>
            <w:r>
              <w:t>Form 10-K FY2025 (filed 2026-03-20); Form 10-Q Q2-2026 (filed 2026-08-12)</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4.5</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4.6</w:t>
            </w:r>
          </w:p>
        </w:tc>
        <w:tc>
          <w:tcPr>
            <w:tcW w:type="dxa" w:w="3456"/>
          </w:tcPr>
          <w:p>
            <w:r>
              <w:t>Form 10-K FY2025 (filed 2026-03-20); Form 10-Q Q2-2026 (filed 2026-08-12)</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5.1</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5.3</w:t>
            </w:r>
          </w:p>
        </w:tc>
        <w:tc>
          <w:tcPr>
            <w:tcW w:type="dxa" w:w="3456"/>
          </w:tcPr>
          <w:p>
            <w:r>
              <w:t>benchmark selection artifact (Starwood Real Estate Income Trust, Inc.)</w:t>
            </w:r>
          </w:p>
        </w:tc>
        <w:tc>
          <w:tcPr>
            <w:tcW w:type="dxa" w:w="5184"/>
          </w:tcPr>
          <w:p>
            <w:r>
              <w:t>accession not on record: no filing reference in the source field</w:t>
            </w:r>
          </w:p>
        </w:tc>
      </w:tr>
      <w:tr>
        <w:tc>
          <w:tcPr>
            <w:tcW w:type="dxa" w:w="720"/>
          </w:tcPr>
          <w:p>
            <w:r>
              <w:t>5.4</w:t>
            </w:r>
          </w:p>
        </w:tc>
        <w:tc>
          <w:tcPr>
            <w:tcW w:type="dxa" w:w="3456"/>
          </w:tcPr>
          <w:p>
            <w:r>
              <w:t>cohort artifact (non-traded real estate cohort)</w:t>
            </w:r>
          </w:p>
        </w:tc>
        <w:tc>
          <w:tcPr>
            <w:tcW w:type="dxa" w:w="5184"/>
          </w:tcPr>
          <w:p>
            <w:r>
              <w:t>accession not on record: no filing reference in the source field</w:t>
            </w:r>
          </w:p>
        </w:tc>
      </w:tr>
      <w:tr>
        <w:tc>
          <w:tcPr>
            <w:tcW w:type="dxa" w:w="720"/>
          </w:tcPr>
          <w:p>
            <w:r>
              <w:t>5.5</w:t>
            </w:r>
          </w:p>
        </w:tc>
        <w:tc>
          <w:tcPr>
            <w:tcW w:type="dxa" w:w="3456"/>
          </w:tcPr>
          <w:p>
            <w:r>
              <w:t>benchmark selection artifact (Starwood Real Estate Income Trust, Inc.)</w:t>
            </w:r>
          </w:p>
        </w:tc>
        <w:tc>
          <w:tcPr>
            <w:tcW w:type="dxa" w:w="5184"/>
          </w:tcPr>
          <w:p>
            <w:r>
              <w:t>accession not on record: no filing reference in the source field</w:t>
            </w:r>
          </w:p>
        </w:tc>
      </w:tr>
      <w:tr>
        <w:tc>
          <w:tcPr>
            <w:tcW w:type="dxa" w:w="720"/>
          </w:tcPr>
          <w:p>
            <w:r>
              <w:t>5.6</w:t>
            </w:r>
          </w:p>
        </w:tc>
        <w:tc>
          <w:tcPr>
            <w:tcW w:type="dxa" w:w="3456"/>
          </w:tcPr>
          <w:p>
            <w:r>
              <w:t>benchmark selection artifact (Starwood Real Estate Income Trust, Inc.)</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Form 10-K FY2025 (filed 2026-03-20); Form 10-Q Q2-2026 (filed 2026-08-12)</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tc>
      </w:tr>
      <w:tr>
        <w:tc>
          <w:tcPr>
            <w:tcW w:type="dxa" w:w="720"/>
          </w:tcPr>
          <w:p>
            <w:r>
              <w:t>6.2</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6.3</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r>
        <w:tc>
          <w:tcPr>
            <w:tcW w:type="dxa" w:w="720"/>
          </w:tcPr>
          <w:p>
            <w:r>
              <w:t>6.4</w:t>
            </w:r>
          </w:p>
        </w:tc>
        <w:tc>
          <w:tcPr>
            <w:tcW w:type="dxa" w:w="3456"/>
          </w:tcPr>
          <w:p>
            <w:r>
              <w:t>Form 10-K FY2025 (filed 2026-03-20); Form 10-Q Q2-2026 (filed 2026-08-12); 424B3 Supplement No. 7 (dated 2026-08-14)</w:t>
            </w:r>
          </w:p>
        </w:tc>
        <w:tc>
          <w:tcPr>
            <w:tcW w:type="dxa" w:w="5184"/>
          </w:tcPr>
          <w:p>
            <w:r>
              <w:t>10-K 2026-03-20 accession 0001193125-26-117060 https://www.sec.gov/Archives/edgar/data/1711929/000119312526117060/ck0001711929-20251231.htm</w:t>
            </w:r>
          </w:p>
          <w:p>
            <w:r>
              <w:t>10-Q 2026-08-12 accession 0001193125-26-346339 https://www.sec.gov/Archives/edgar/data/1711929/000119312526346339/ck0001711929-20260630.htm</w:t>
            </w:r>
          </w:p>
          <w:p>
            <w:r>
              <w:t>424B3 2026-08-14 accession 0001193125-26-351388 https://www.sec.gov/Archives/edgar/data/1711929/000119312526351388/ck0001711929-20260813.htm</w:t>
            </w:r>
          </w:p>
        </w:tc>
      </w:tr>
      <w:tr>
        <w:tc>
          <w:tcPr>
            <w:tcW w:type="dxa" w:w="720"/>
          </w:tcPr>
          <w:p>
            <w:r>
              <w:t>6.5</w:t>
            </w:r>
          </w:p>
        </w:tc>
        <w:tc>
          <w:tcPr>
            <w:tcW w:type="dxa" w:w="3456"/>
          </w:tcPr>
          <w:p>
            <w:r>
              <w:t>Form 10-K FY2025 (filed 2026-03-20)</w:t>
            </w:r>
          </w:p>
        </w:tc>
        <w:tc>
          <w:tcPr>
            <w:tcW w:type="dxa" w:w="5184"/>
          </w:tcPr>
          <w:p>
            <w:r>
              <w:t>10-K 2026-03-20 accession 0001193125-26-117060 https://www.sec.gov/Archives/edgar/data/1711929/000119312526117060/ck0001711929-20251231.htm</w:t>
            </w:r>
          </w:p>
        </w:tc>
      </w:tr>
    </w:tbl>
    <w:p>
      <w:r>
        <w:t>Data sources: SEC EDGAR filings (3 held for this product in the filing manifest, every row with its accession) and DOL EBSA Form 5500 data for the plan, shown under its anonymized label.</w:t>
      </w:r>
    </w:p>
    <w:p>
      <w:pPr>
        <w:pStyle w:val="Heading1"/>
      </w:pPr>
      <w:r>
        <w:t>Appendix: verbatim regulatory text</w:t>
      </w:r>
    </w:p>
    <w:p>
      <w:r>
        <w:t>verbatim Federal Register text is in this build. Federal Register document 2026-06178, fetched 2026-09-07T06:19:25+00:00, content hash aef7a94680824e5574780e1f614702189d9dafcf1fde58558ff3ac782d3dcd5a. Runs of whitespace inside a paragraph are collapsed to one space. Every paragraph below is the Federal Register text unchanged.</w:t>
      </w:r>
    </w:p>
    <w:p>
      <w:pPr>
        <w:pStyle w:val="Heading2"/>
      </w:pPr>
      <w:r>
        <w:t>Paragraph (g)</w:t>
      </w:r>
    </w:p>
    <w:p>
      <w:r>
        <w:t>(g) Performance. The plan fiduciary must appropriately consider a reasonable number of similar alternatives and determine that the risk-adjusted expected returns, over an appropriate time-horizon, of the designated investment alternative, net of anticipated fees and expenses, further the purposes of the plan by enabling participants and beneficiaries to maximize risk-adjusted returns on investment net of fees and expenses.</w:t>
      </w:r>
    </w:p>
    <w:p>
      <w:r>
        <w:t>(1) Example. Return— (i) Facts. The named fiduciary of a plan ( e.g., the plan sponsor or plan investment committee), working with a third-party investment advice fiduciary within the meaning of section 3(21)(A)(ii) of ERISA, considers three target date fund series. The investment advice fiduciary presents various risk measures for the named fiduciary to consider, including the Sharpe Ratio, a commonly used measure to assess risk-adjusted performance, and a risk-adjusted return measure that subtracts a risk penalty from returns. The investment advice fiduciary explains these concepts and their implications to the named fiduciary that then relies on this advice to select a target date fund series that has lower expected returns but lower expected risk, as measured by volatility. The named fiduciary makes this selection after considering the risk capacity of the plan's participants. The lower risk strategy that the named fiduciary selects has achieved higher risk-adjusted returns by including alternative assets with low correlations to stocks and bonds in its investment portfolio, thereby reducing the volatility of returns.</w:t>
      </w:r>
    </w:p>
    <w:p>
      <w:r>
        <w:t>(ii) Analysis. Plan fiduciaries, with the benefit of third-party investment advice when appropriate, need not select an investment with the highest returns, nor aim to achieve the highest possible returns. It is often prudent to select a lower-risk investment strategy with a lower expected return. Plan fiduciaries may wish to consider selecting investments that hold alternative assets with low correlations to stock and bonds in their portfolios for exactly this purpose of improving risk-adjusted returns.</w:t>
      </w:r>
    </w:p>
    <w:p>
      <w:r>
        <w:t>(iii) Conclusion. A plan fiduciary selecting a designated investment alternative should consider various risk metrics when evaluating investments. The plan fiduciary should seek to maximize returns, net of fees, for a given level of appropriate risk, consistent with the participants' likely needs over the course of the anticipated investment. By doing so, including by engaging and relying on third-party investment advice, as appropriate, to analyze and explain how to evaluate risk, the plan fiduciary shall be deemed to have satisfied the requirements of paragraph (g) of this section.</w:t>
      </w:r>
    </w:p>
    <w:p>
      <w:r>
        <w:t>(2) Example. Time horizon —(i) Facts. The named fiduciary of a plan ( e.g., the plan sponsor or plan investment committee) with a predominantly younger workforce, working with a third-party investment advice fiduciary within the meaning of section 3(21)(A)(ii) of ERISA, considers three target date fund series. The investment advice fiduciary analyzes the historical performance of each series over the past 1-, 3-, 5-, and 10-year periods. After considering the historical performance data for these periods, the named fiduciary adopts the investment advice fiduciary's recommendation to rely most heavily on the 10-year historical performance data as most probative for purposes of selecting the designated investment alternative.</w:t>
      </w:r>
    </w:p>
    <w:p>
      <w:r>
        <w:t>(ii) Analysis. A plan fiduciary, with the benefit of third-party investment advice fiduciaries, when appropriate, need not select an investment strategy with the highest returns during a short or most recent period of time. Given the long-term nature of retirement savings, it is often prudent to give greater weight to the long-term historical performance of possible designed investment alternatives over short-term performance.</w:t>
      </w:r>
    </w:p>
    <w:p>
      <w:r>
        <w:t>(iii) Conclusion. A plan fiduciary selecting a designated investment alternative should consider the appropriate time horizons for retirement savings. In so doing, the plan fiduciary should seek to maximize returns for a given level of appropriate risk, consistent with the participants' likely needs over the course of the anticipated investment, which, because of the long-term nature of retirement savings, may be a long time horizon, depending on the particular facts and circumstances. By doing so, including by engaging and relying on third-party investment advice, when appropriate, to analyze and explain how to evaluate past performance, the plan fiduciary shall be deemed to have satisfied the requirements of paragraph (g) of this section.</w:t>
      </w:r>
    </w:p>
    <w:p>
      <w:pPr>
        <w:pStyle w:val="Heading2"/>
      </w:pPr>
      <w:r>
        <w:t>Paragraph (h)</w:t>
      </w:r>
    </w:p>
    <w:p>
      <w:r>
        <w:t>(h) Fees. The plan fiduciary must consider a reasonable number of similar alternatives and determine that the fees and expenses of the designated investment alternative are appropriate, taking into account its risk-adjusted expected returns and any other value the designated investment alternative brings to furthering the purposes of the plan. For this purpose, the term “value” includes any benefits, features, or services other than risk-adjusted returns. Section 404(a)(1)(B) of ERISA and paragraph (h) of this section are not violated solely because the fiduciary does not select the alternative with the lowest fees and expenses from among the alternatives considered. For example, a prudent plan fiduciary could choose to pay more in exchange for greater services.</w:t>
      </w:r>
    </w:p>
    <w:p>
      <w:r>
        <w:t>(1) Example. Fees; Customer service —(i) Facts. The named fiduciary of a plan ( e.g., the plan sponsor or plan investment committee) considers five stock funds that follow similar strategies in passively tracking the same index. The named fiduciary evaluates the funds with the assistance of a third-party investment advice fiduciary within the meaning of section 3(21)(A)(ii) of ERISA and finds that the five funds have had similar historical risk-adjusted returns and liquidity, and that the funds have very different ratings for customer service and communication. The named fiduciary selects the fund with the highest fees and highest rating for customer service and communication. This fund offers knowledgeably staffed call centers dedicated to retirement plan investors, short wait times, clearly written investor communications, safe and easy online access for participants, and published surveys and ratings that demonstrate an exceptional commitment to customer service. The difference between the funds with lowest and highest fees is one quarter of one basis point.</w:t>
      </w:r>
    </w:p>
    <w:p>
      <w:r>
        <w:t>(ii) Analysis. A plan fiduciary must consider a reasonable number of similar alternatives before selecting a designated investment alternative. Although the determination of what constitutes a reasonable number is dependent upon the specific facts and circumstances of each case, section 404(a)(1)(B) of ERISA and paragraph (h) of this section do not require a plan fiduciary to consider every similar alternative available in the market. Likewise, whether alternatives are similar is dependent on the specific facts and circumstances of each case. After considering a reasonable number of similar alternatives, a plan fiduciary must determine that the fees and expenses of the designated investment alternative are appropriate, taking into account its expected risk-adjusted returns and the value the designated investment alternative brings in furthering the purposes of the plan. All else being equal, a plan fiduciary must rely on the value proposition of a designated investment alternative with higher fees and expenses than similar alternatives with lower fees and expenses when choosing that designated investment alternative.</w:t>
      </w:r>
    </w:p>
    <w:p>
      <w:r>
        <w:t>(iii) Conclusion. The named fiduciary in this example does not fail to satisfy section 404(a)(1)(B) of ERISA and paragraph (h) of this section solely because it did not select the alternative with the lowest fees and expenses. The named fiduciary enlisted the services of an investment advice fiduciary within the meaning of section 3(21)(A)(ii) of ERISA. The named fiduciary considered and determined that the five specific alternatives were a reasonable number of alternatives to have considered, taking into account the role of the designated investment alternative in furthering the purposes of the plan, their similar strategies, historical performance, and liquidity. In addition, the named fiduciary considered and determined that the higher fees and expenses are appropriate considering the value of increased customer service and communication.</w:t>
      </w:r>
    </w:p>
    <w:p>
      <w:r>
        <w:t>(2) Example. Fees; Share classes —(i) Facts. A plan sponsor decides to establish a participant-directed defined contribution plan. The plan document specifies that the director of human resources is the named fiduciary of the plan and responsible for the establishment of the plan investment menu and selection and monitoring of designated investment alternatives. The named fiduciary does not enlist the services of an investment advice fiduciary within the meaning of section 3(21)(A)(ii) of ERISA, an investment manager within the meaning of section 3(38) of ERISA, or any other type of professional consultant. The named fiduciary purchases a subscription to an independent analysis ratings firm to research investment options before making a selection. The service rates funds overall but does not attach ratings to different share classes of the same fund. After a few years, the named fiduciary decides to replace one of the plan's designated investment alternatives with a new fund, and to move participant investments from the old designated investment alternative to the new fund pursuant to ERISA section 404(c)(4). The new fund selected by the named fiduciary has high ratings from the service to which the named fiduciary subscribes and is a registered investment company within the meaning of the Investment Company Act of 1940. The named fiduciary makes a substantial investment in class R2 shares of the fund. The named fiduciary does not consider any differences in share classes offered by this fund. The fund offers multiple share classes, including multiple R share classes. Class R2 shares have substantially higher fees than class R6 shares. Based on the amount of the investment, the named fiduciary could have purchased class R6 shares without any negotiation or additional expenditure of plan assets or resources. Except for fee structures, both share classes are identical in terms of shareholder rights and obligations.</w:t>
      </w:r>
    </w:p>
    <w:p>
      <w:r>
        <w:t>(ii) Analysis. A fiduciary must consider a reasonable number of similar alternatives and determine that the fees and expenses of the designated investment alternative are appropriate, taking into account the designated investment alternative's risk-adjusted expected returns and any other value the designated investment alternative brings to furthering the purposes of the plan. The named fiduciary failed to give any consideration to the differences in fees between the various share classes of the fund, even though the size of the investment met the fund's criteria for the lower fee share classes without any negotiation or additional expenditure of plan assets or resources. Class R6 shares have a superior value proposition to class R2 shares because both share classes are identical in all respects except that class R6 shares have lower fees.</w:t>
      </w:r>
    </w:p>
    <w:p>
      <w:r>
        <w:t>(iii) Conclusion. The facts in this example do not establish that the named fiduciary satisfied section 404(a)(1)(B) of ERISA and paragraph (h) of this section when selecting the designated investment alternative. The selection process appears to be flawed because the named fiduciary failed to consider the difference in fee structures among the various share classes. A prudent selection process would ordinarily uncover the existence of more economical share class options for the plan.</w:t>
      </w:r>
    </w:p>
    <w:p>
      <w:r>
        <w:t>(3) Example. Fees; Lifetime income —(i) Facts. A plan sponsor makes a plan design decision to add a lifetime income benefit to its existing participant-directed individual account plan. The named fiduciary of the plan selects an asset allocation fund offered through a variable annuity contract to implement the plan sponsor's decision. The new designated investment alternative is similar in all material respects—risk, return, liquidity, and allocation profile—to another designated investment alternative already on the plan investment menu except that the designated investment alternative already on the plan investment menu does not offer lifetime income through a variable annuity contract. The two designated investment alternatives have the same expense ratio, but the designated investment alternative offered through the variable annuity contract has an additional fee associated with the ability of participants to select the lifetime income feature. The additional fee typically secures more favorable annuity conversion rates throughout the life of the contract than would be available outside of the contract. The named fiduciary consults with an investment advice fiduciary within the meaning of section 3(21)(A)(ii) of ERISA. The investment advice fiduciary analyzes the annuity market generally, as well as the break-even ages and additional fee of the designated investment alternative, which analysis the named fiduciary critically evaluates and adopts in determining, within its discretion, that the designated investment alternative with the lifetime income benefit provides commensurate value for the fees charged.</w:t>
      </w:r>
    </w:p>
    <w:p>
      <w:r>
        <w:t>(ii) Analysis. The named fiduciary must act prudently when implementing the plan sponsor's decision to add a lifetime income benefit to the plan. Although the named fiduciary must appropriately consider a reasonable number of similar alternatives, the designated investment alternative already on the plan investment menu satisfies this standard because it is both sufficiently different from the designated investment alternative being added to the plan investment menu due to its lifetime income benefit feature and sufficiently comparable because it is identical in each other material respect. The lifetime income feature has added value to the plan and therefore justifies higher total fees than the designated investment alternative without this feature.</w:t>
      </w:r>
    </w:p>
    <w:p>
      <w:r>
        <w:t>(iii) Conclusion. The named fiduciary in this example did not act imprudently by adding the new designated investment alternative to the plan investment menu solely because it has higher fees than the similar designated investment alternative without the lifetime income benefit feature that is already on the plan investment menu. To satisfy the consideration and determination requirements under paragraph (h) of this section, and section 404(a)(1)(B) of ERISA, the named fiduciary considered and determined that the additional fee under the variable annuity contract is appropriate in relation to the value it brings to furthering the purposes of the plan.</w:t>
      </w:r>
    </w:p>
    <w:p>
      <w:r>
        <w:t>(4) Example. Fees; Risk mitigation strategies —(i) Facts. A participant-directed defined contribution plan contains a custom-designed designated investment alternative that is a qualified default investment alternative (target date fund), managed by an investment manager within the meaning of ERISA section 3(38), with a strategy that targets specific percentages of stocks and bonds that trade on public exchanges. As part of a review of the plan's investment menu, the named fiduciary with responsibility for selecting the qualified default investment alternative considers the investment manager's proposed modification of the designated investment alternative's strategy to target investment in specific percentages of hedge funds and private equity funds while reducing target percentages of publicly traded stocks and bonds. The purpose of the modification is risk mitigation—meaning, to decrease volatility and reduce the risk of large losses during a market downturn. Under certain market conditions, a potential consequence is the designated investment alternative may underperform as compared to the continued use of the unmodified strategy, but it provides downside protection as an additional value. The named fiduciary enlists the services of a third-party investment advice fiduciary within the meaning of section 3(21)(A)(ii) of ERISA to analyze the new target percentages and the hedge fund and private equity funds for investment by the designated investment alternative, as well as detailed information about the investment strategies and fee structures of these funds. The third-party investment advice fiduciary also provides the named fiduciary with a written report stochastically modeling estimated risk-adjusted returns stemming from the adoption of the modifications and comparing the target date fund, as modified, to a reasonable number of similar alternatives. Although the designated investment alternative's expense ratio would increase slightly, the report shows an improvement in the risk-adjusted expected returns, net of fees, over a horizon determined to be appropriate for the target date fund.</w:t>
      </w:r>
    </w:p>
    <w:p>
      <w:r>
        <w:t>(ii) Analysis. In this example, the named fiduciary is not making an original selection of a designated investment alternative. Yet because the change in strategy proposed by the investment manager implicates the principal objectives of the target date fund, implementing the described modification is tantamount to selecting a designated investment alternative from scratch. Consequently, the named fiduciary must consider a reasonable number of similar alternatives to the target date fund, as modified, and determine that its fees and expenses are appropriate, taking into account its risk-adjusted expected returns and any other value it brings to furthering the purposes of the plan. That the target date fund is customized does not negate the requirement to appropriately consider a reasonable number of similar alternatives. Whether the alternatives considered are similar depends on the facts and circumstances of the case. Factors commonly used by investment professionals in like circumstances include risk, return, liquidity, and allocation profile.</w:t>
      </w:r>
    </w:p>
    <w:p>
      <w:r>
        <w:t>(iii) Conclusion. The named fiduciary in this example satisfies the consideration and determination requirements of paragraph (h) of this section, and section 404(a)(1)(B) of ERISA, with respect to the fees and expenses of the target date fund as modified. The named fiduciary enlisted the services of an investment advice fiduciary. The investment advice fiduciary provided the named fiduciary with a written report stochastically modeling estimated risk-adjusted returns stemming from the adoption of the modifications and comparing the target date fund, as modified, to a reasonable number of similar alternatives. The named fiduciary considered and determined within its discretion that the modification to the target date fund to include the risk mitigation strategy furthered the purposes of the plan, including decreasing volatility and reducing the risk of large losses during a market downturn. In addition, the named fiduciary considered and determined, within its discretion, that the higher expense ratio associated with the modification was appropriate in light of the estimated higher risk-adjusted expected returns, net of fees and expenses, over an appropriate horizon for the target date fund.</w:t>
      </w:r>
    </w:p>
    <w:p>
      <w:r>
        <w:t>(5) Example. Fees; Active management —(i) Facts. The named fiduciary of a plan ( e.g., the plan sponsor or plan investment committee) considers six small-cap stock funds. Three of the funds passively track the same index while three of the funds are actively managed, attempting to outperform the passive index. The passive funds are all comparably priced to each other, and the actively managed funds are comparably priced to each other. However, the actively managed funds all have higher fees and expenses than the passive funds. The named fiduciary evaluates the funds with the assistance of a third-party investment advice fiduciary within the meaning of section 3(21)(A)(ii) of ERISA and finds that one of the passive funds has had lower tracking error and fees compared to the other two passive funds and one of the actively managed funds has had outstanding historical risk-adjusted returns compared to all of the passive funds as well as the other two actively managed funds, despite the other two actively managed funds having adopted a similar investment strategy. The named fiduciary selects both the highest performing actively managed fund as well as the passive fund with lowest tracking error and fees based on advice from the third-party investment advice fiduciary that allowing participants to gain exposure to actively managed and passive funds will increase their risk-adjusted return on investment net of the additional fees charged by the actively managed fund.</w:t>
      </w:r>
    </w:p>
    <w:p>
      <w:r>
        <w:t>(ii) Analysis. The named fiduciary must consider a reasonable number of similar alternatives to the funds it selects, and determine that their fees and expenses are appropriate, taking into account their risk-adjusted expected returns and any other value they bring to furthering the purposes of the plan. A plan fiduciary may choose to offer both an actively managed and a passive fund within a particular strategy to secure diversification benefits for participants across the plan investment menu. In so doing, the plan fiduciary may conclude that the value of these diversification benefits justifies the selection of an actively managed fund that charges higher fees than a passive counterpart.</w:t>
      </w:r>
    </w:p>
    <w:p>
      <w:r>
        <w:t>(iii) Conclusion. The named fiduciary in this example satisfies the consideration and determination requirements of paragraph (h) of this section, and section 404(a)(1)(B) of ERISA, with respect to the fees and expenses of both funds. The named fiduciary enlisted the services of an investment advice fiduciary. The investment advice fiduciary fully compared and analyzed the profiles of the actively managed and passive funds. The investment advice fiduciary also provided the named fiduciary with professional advice about the benefits of diversified portfolios. The named fiduciary considered and determined, within its discretion, that selecting the highest performing actively managed and passive funds furthered the purposes of the plan by increasing risk-adjusted return through the increased value of additional diversification.</w:t>
      </w:r>
    </w:p>
    <w:p>
      <w:pPr>
        <w:pStyle w:val="Heading2"/>
      </w:pPr>
      <w:r>
        <w:t>Paragraph (i)</w:t>
      </w:r>
    </w:p>
    <w:p>
      <w:r>
        <w:t>(i) Liquidity. The fiduciary must appropriately consider and determine that the designated investment alternative will have sufficient liquidity to meet the anticipated needs of the plan at both the plan and individual levels. For example, because participant-directed individual account plans are long-term retirement savings vehicles, particularly for participants early in their careers, there is no requirement that a fiduciary select only fully liquid products. Indeed, a prudent fiduciary process may regularly lead to a decision to sacrifice some plan- or individual-level liquidity, or both, in pursuit of additional risk-adjusted return.</w:t>
      </w:r>
    </w:p>
    <w:p>
      <w:r>
        <w:t>(1) Example. Participant-level liquidity —(i) Facts. Certain participant-level events, depending on the terms of the plan, may trigger a plan's need for immediate liquidity. Examples of these events include, but are not limited to, participant benefit withdrawals due to retirement, separation from service, or financial hardship, asset reallocations or reinvestments to other designated investment alternatives in the case of plans intended to meet the requirements of section 404(c) of ERISA, and plan loans.</w:t>
      </w:r>
    </w:p>
    <w:p>
      <w:r>
        <w:t>(ii) Analysis. Plan fiduciaries must give consideration to the potential for such events when selecting designated investment alternatives, especially qualified default investment alternatives (as defined in 29 CFR 2550.404c-5), for a plan investment menu. Further, on the basis of such consideration, the plan fiduciary must determine that the designated investment alternative, at the time of selection, will have sufficient liquidity to meet the anticipated liquidity needs of the plan.</w:t>
      </w:r>
    </w:p>
    <w:p>
      <w:r>
        <w:t>(iii) Conclusion. The participant-level liquidity needs of a given plan depend on the type of plan at issue, its features, and the overall profile of the participants and beneficiaries of the plan as a whole, particularly with respect to a qualified default investment alternative (as defined in 29 CFR 2550.404c-5), as well as, to the extent they are different, the participants and beneficiaries likely to select the particular designated investment alternative under review. A plan fiduciary, however, is deemed to have met the consideration and determination requirements of paragraph (i) of this section, and section 404(a)(1)(B) of ERISA, with respect to the participant-level liquidity needs of a given plan in connection with a given designated investment alternative (including one that holds a percentage of assets that are not securities, non-publicly traded securities, or securities acquired in exempt offerings) that is a mutual fund registered as an open-end management investment company with the U.S. Securities and Exchange Commission under the Investment Company Act of 1940. Such mutual funds are required by rules under such Act to adopt and implement a written liquidity risk management program that is designed to assess and manage their liquidity risk. In the case of a designated investment alternative that is not such a mutual fund, a plan fiduciary will be deemed to have met the consideration and determination requirements of paragraph (i) of this section and section 404(a)(1)(B) of ERISA if three conditions are met. First, the fiduciary obtains a written representation from the person responsible for managing the designated investment alternative, or otherwise performs appropriate due diligence, that the designated investment alternative has adopted and implemented a liquidity risk management program that is substantially similar to a program that meets the requirements of such Act. Second, the fiduciary reads, critically reviews, and understands any written representation and consults a qualified professional where appropriate. Third, the fiduciary does not know, or have reason to know, other information which would cause the fiduciary to question any written representation.</w:t>
      </w:r>
    </w:p>
    <w:p>
      <w:r>
        <w:t>(2) Example. Participant level liquidity; lifetime income —(i) Facts. The investment policy statement of a participant-directed individual account plan calls for lifetime income options on the plan investment menu. The named fiduciary selects several designated investment alternatives with such features, including a deferred annuity contract. Allocations to this contract, which are made on a monthly basis, grow at a rate specified under the contract, and monthly payments for life begin when the participant reaches age 65. Allocations to this contract become fully committed after 90 days and any immediate withdrawals by a participant before age 65 result in a penalty and a market value adjustment to the value of the annuity that begins at age 65. The restrictions on liquidity throughout the growth period enable greater monthly payments at age 65.</w:t>
      </w:r>
    </w:p>
    <w:p>
      <w:r>
        <w:t>(ii) Analysis. Paragraph (i) of this section clarifies that plan fiduciaries must appropriately consider the potential participant-level events that may trigger a plan's need for immediate liquidity, and must determine that the designated investment alternative, at the time of selection, will have sufficient liquidity to meet the anticipated liquidity needs of the plan. When assessing the liquidity needs of the plan, the plan fiduciary in this example must balance the restrictions on liquidity under the annuity contract with the value of the guaranteed monthly payments under the annuity contract, recognizing that such guarantees help plan participants manage investment and longevity risk. The fact that a designated investment alternative is fully allocated to an illiquid product, like an annuity, does not foreclose its selection, including, for example, where the fiduciary determines within its discretion that the lack of liquidity is justified by a commensurate expected increase in return on investment, certainty with respect to future payments, or both.</w:t>
      </w:r>
    </w:p>
    <w:p>
      <w:r>
        <w:t>(iii) Conclusion. In this example, the named fiduciary would satisfy the consideration and determination requirements of paragraph (i) of this section, and section 404(a)(1)(B) of ERISA, with respect to the designated investment alternative in question if the named fiduciary concluded that the increase in the value of the monthly payments and the certainty of the insurer's guarantee under the annuity contract justified the restrictions on liquidity.</w:t>
      </w:r>
    </w:p>
    <w:p>
      <w:r>
        <w:t>(3) Example. Plan-level liquidity —(i) Facts. Plan terminations, changes in plan recordkeepers or investment providers, and corporate sponsor mergers and acquisitions are examples of circumstances that may impose relatively short-term liquidity demands on a plan's designated investment alternatives. This is especially true in the case of a designated investment alternative (such as a pooled investment vehicle) with a strategy involving a target position in certain private assets along with public assets ( e.g., publicly traded securities). With such designated investment alternatives, a specific plan's (or, in a pooled investment product, other plan's or non-plan investors') need for relatively short-term liquidity ( e.g., when the investor wants to exit the investment) may present significant liquidity risk to the designated investment alternative as a whole such that it cannot maintain its asset allocation targets. Thus, in such circumstances, designated investment alternatives may or must impose temporal restrictions on redemptions ( e.g., they might require advance notice and permit only incremental redemptions over a period of time). When fulfilling withdrawals, particularly large withdrawals, diversified designated investment alternatives may temporarily deviate from their target asset allocations. For example, a designated investment alternative that is designed to have a 90 percent allocation to fully liquid instruments may have to temporarily accept a lower allocation to fully liquid instruments to satisfy a large withdrawal.</w:t>
      </w:r>
    </w:p>
    <w:p>
      <w:r>
        <w:t>(ii) Analysis. Plan fiduciaries must give consideration to, and determine, that the scope and duration of redemption restrictions at the plan level meet the anticipated needs of the plan. This includes whether the designated investment alternative has a sufficient process in place to balance the plan's potential need for withdrawal against the plan's desire for the designated investment alternative to maintain smooth and consistent target positions, including following a significant withdrawal of investors other than the plan.</w:t>
      </w:r>
    </w:p>
    <w:p>
      <w:r>
        <w:t>(iii) Conclusion. A plan fiduciary is deemed to have met the consideration and determination requirements of paragraph (i) of this section, and section 404(a)(1)(B) of ERISA, with respect to the plan-level liquidity needs of a given plan in connection with a given designated investment alternative (including one that holds a percentage of assets that are not securities, non-publicly traded securities, or securities acquired in exempt offerings) in either of the two following scenarios.</w:t>
      </w:r>
    </w:p>
    <w:p>
      <w:r>
        <w:t>(A) In the first scenario, the plan fiduciary evaluates, including, if appropriate, with the advice of a third-party investment advice fiduciary within the meaning of section 3(21)(A)(ii) of ERISA, in concert, the maximum that the designated investment alternative will allocate to illiquid investments, the time until such investments could likely be sold without reducing their value, the time until such investments will return capital to their investors, and the required advance notice plans must give before exiting the designated investment alternative. After this evaluation, the plan fiduciary concludes that the designated investment alternative will appropriately balance the future liquidity needs of the plan, the ability of the designated investment alternative to achieve increased risk-adjusted return on investment, and the ability to maintain its asset allocation targets even if there were redemptions from multiple plans or non-plan investors.</w:t>
      </w:r>
    </w:p>
    <w:p>
      <w:r>
        <w:t>(B) In the second scenario, the plan fiduciary relies on the fact that the designated investment alternative is a mutual fund registered as an open-end management investment company with the SEC under the Investment Company Act of 1940, which is required by rules under such Act to adopt and implement a written liquidity risk management program that is designed to assess and manage their liquidity risk. If the designated investment alternative is not such a fund, the fiduciary must meet three conditions. First, the fiduciary obtains a written representation from the person responsible for managing the designated investment alternative, or otherwise performs appropriate due diligence, that the designated investment alternative has adopted and implemented a liquidity risk management program that is substantially similar to a program that meets the liquidity risk management requirements under such Act. Second, the fiduciary reads, critically reviews, and understands any written representation and consults a qualified professional where appropriate. Third, the fiduciary does not know, or have reason to know, other information which would cause the fiduciary to question any written representation.</w:t>
      </w:r>
    </w:p>
    <w:p>
      <w:r>
        <w:t>(4) Example. Participant and plan-level liquidity —(i) Facts. A participant-directed individual account plan offers a designated investment alternative that is a pooled investment vehicle with an investment strategy involving target positions in particular types of assets, including holdings in private assets. According to written representations from the person responsible for managing the product, it is structured so that the timing of the product's ability to liquidate private-asset investments aligns generally with the redemption rights of plans investing in the product. Representations also are made that the product permits quarterly redemptions by investors and does not otherwise impose any specific limits or restrictions on timing or payment of redemptions. For individual participants, representations are made to the plan fiduciary that the designated investment alternative has adopted and implemented a liquidity risk-management program that imposes requirements substantially similar to the requirements related to liquidity risk management programs for mutual funds registered as open-end management investment companies with the SEC under the Investment Company Act of 1940. The fiduciary reads, critically reviews, and understands the written representations and consults a third-party investment advice fiduciary within the meaning of section 3(21)(A)(ii) of ERISA. The fiduciary does not know, or have reason to know, other information which would cause the fiduciary to question the written representations.</w:t>
      </w:r>
    </w:p>
    <w:p>
      <w:r>
        <w:t>(ii) Analysis. The example in paragraph (i)(1) of this section clarifies that plan fiduciaries must appropriately consider the potential participant-level events that may trigger a plan's need for immediate liquidity, and must determine that the designated investment alternative, at the time of selection, will have sufficient liquidity to meet the anticipated liquidity needs of the plan. Similarly, the example in paragraph (i)(3) of this section clarifies that plan fiduciaries must appropriately consider, and determine, that the scope and duration of redemption restrictions at the plan level meet the anticipated needs of the plan.</w:t>
      </w:r>
    </w:p>
    <w:p>
      <w:r>
        <w:t>(iii) Conclusion. A plan fiduciary is deemed to have met the consideration and determination requirements of paragraph (i) of this section, and section 404(a)(1)(B) of ERISA, with respect to the participant-level and plan-level liquidity needs of a given plan in connection with a given designated investment alternative when the fiduciary determines within its discretion that the redemption structures under the product are appropriate to the needs of the plan after giving due consideration, including, where applicable, with the benefit of analysis of professional advisors, to the specific needs of the plan, including its need to maximize risk-adjusted return on investment.</w:t>
      </w:r>
    </w:p>
    <w:p>
      <w:pPr>
        <w:pStyle w:val="Heading2"/>
      </w:pPr>
      <w:r>
        <w:t>Paragraph (j)</w:t>
      </w:r>
    </w:p>
    <w:p>
      <w:r>
        <w:t>(j) Valuation. The fiduciary must appropriately consider and determine that the designated investment alternative has adopted adequate measures to ensure that the designated investment alternative is capable of being timely and accurately valued in accordance with the needs of the plan.</w:t>
      </w:r>
    </w:p>
    <w:p>
      <w:r>
        <w:t>(1) Example. Valuation; Public exchanges —(i) Facts. A participant-directed individual account plan offers a designated investment alternative that allows participants to acquire shares of a mutual fund registered as an open-end management investment company with the SEC under the Investment Company Act. Except for necessary cash reserves for operating expenses, all the underlying investments of the designated investment alternative trade daily on a public exchange. The exchange is a national securities exchange which is regulated under section 6 of the Securities Exchange Act of 1934.</w:t>
      </w:r>
    </w:p>
    <w:p>
      <w:r>
        <w:t>(ii) Analysis. For purposes of determining the prudence of an investment, plan fiduciaries may rely on asset valuations derived from a national securities exchange or another similar, public exchange to the extent the exchange constitutes a generally recognized market through which the value of the investment is readily and accurately determinable in a timely manner.</w:t>
      </w:r>
    </w:p>
    <w:p>
      <w:r>
        <w:t>(iii) Conclusion. The plan fiduciary is deemed to have met the consideration and determination requirements of paragraph (j) of this section, and section 404(a)(1)(B) of ERISA, with respect to this designated investment alternative, provided that the alternative's organizational documents or prospectus indicate that its value is determined in all material respects by reference to the price of the security as reflected on the exchange at the time of the valuation.</w:t>
      </w:r>
    </w:p>
    <w:p>
      <w:r>
        <w:t>(2 ) Example. Valuation; FASB 820 —(i) Facts. A participant-directed individual account plan offers a designated investment alternative that invests in some securities that trade daily on a public exchange and some securities for which there is not a generally recognized market. The manager of the designated investment alternative represents in writing that the securities for which there is not a generally recognized market are valued through a conflict-free, independent process no less frequently than quarterly, according to procedures that satisfy the Financial Accounting Standards Board Accounting Standards Codification 820, titled Fair Value Measurements (or any successor standard). The current value of each share of the designated investment alternative is then communicated in writing to the named fiduciary of the plan.</w:t>
      </w:r>
    </w:p>
    <w:p>
      <w:r>
        <w:t>(ii) Analysis. For purposes of determining the prudence of an investment, plan fiduciaries may rely on asset valuations that result from the application of generally recognized procedures for measuring the fair value of assets for purposes of disclosure in financial statements prepared in accordance with U.S. generally accepted accounting principles, if applied through a conflict-free, independent process with respect to acquisition, disposition, or management of the assets.</w:t>
      </w:r>
    </w:p>
    <w:p>
      <w:r>
        <w:t>(iii) Conclusion. The named fiduciary of this plan is deemed to have met the consideration and determination requirements of paragraph (j) of this section, and section 404(a)(1)(B) of ERISA, with respect to this designated investment alternative under the following scenario. First, the named fiduciary reads, critically reviews, and understands the written representation, or otherwise performs appropriate due diligence on the valuation process, and consults a qualified professional where appropriate. Second, the named fiduciary does not know, or have reason to know, other information which would cause the named fiduciary to question any written representation. This conclusion would not change solely because the designated investment alternative permits its manager, acting in good faith, to adopt alternative valuation procedures if the manager determines and documents a temporary emergency that could result in a negative impact on investors if the generally applicable valuation procedures are followed ( e.g., if investors would be able to redeem their interests based on a valuation that the manager believes is inflated and that would result in a significant harm to remaining investors).</w:t>
      </w:r>
    </w:p>
    <w:p>
      <w:r>
        <w:t>(3) Example. Valuation; SEC rules —(i) Facts. A participant-directed individual account plan offers a designated investment alternative that is a mutual fund registered as an open-end management investment company with the SEC under the Investment Company Act of 1940 and that contains some securities that trade daily on a public exchange and some securities for which there is not a generally recognized market. Under the Investment Company Act and rules thereunder, among other things, mutual funds are required to have audited financial statements prepared in accordance with generally accepted accounting principles. These audited financial statements include an auditor's report. The fiduciary reviews the fund's publicly-available financial statements and valuation-related disclosures to confirm compliance with all applicable requirements under the Investment Company Act related to pricing and valuation of its shares, or otherwise performs appropriate due diligence. The fiduciary also reviews the fund's Form N-1A prospectus disclosures to confirm that a majority of the fund's board is independent.</w:t>
      </w:r>
    </w:p>
    <w:p>
      <w:r>
        <w:t>(ii) Analysis. For purposes of determining the prudence of an investment that is governed by the Investment Company Act, plan fiduciaries may rely on asset valuations that result from the application of reasonable valuation procedures adopted to comply with the Investment Company Act and rules thereunder.</w:t>
      </w:r>
    </w:p>
    <w:p>
      <w:r>
        <w:t>(iii) Conclusion. The plan fiduciary of this plan is deemed to have met the consideration and determination requirements of paragraph (j) of this section, and section 404(a)(1)(B) of ERISA, with respect to this designated investment alternative under the following scenario. First, the fiduciary reads the fund's publicly available audited financial statements and valuation-related disclosures, or otherwise performs appropriate due diligence on the valuation process, and consults a qualified professional as appropriate. Second, the fiduciary does not know, or have reason to know, other information which would cause the fiduciary to question the veracity of the audited financial statements.</w:t>
      </w:r>
    </w:p>
    <w:p>
      <w:r>
        <w:t>(4) Example. Valuation; Conflicts of interest —(i) Facts. The plan document for a participant-directed individual account plan specifies that the plan sponsor's chief financial officer is the named fiduciary of the plan and responsible for the establishment of the plan investment menu and selection and monitoring of designated investment alternatives. The named fiduciary selects as a designated investment alternative (or part of a broader investment alternative) a continuation fund (Fund) managed or controlled by an entity (Manager) that has recently acquired or contemplates an imminent acquisition of assets from an investment vehicle, such as another fund or vehicle with alternative assets, that is managed or controlled by the Manager or an affiliate of the Manager. The assets that were or will be purchased for the Fund from the investment vehicle do not trade on a public exchange and lack readily observable market prices, and the Manager was or will be able to control or influence—directly or indirectly—the price or other material terms on which the assets are transferred to the Fund. The Manager represents to the named fiduciary that valuation of the purchased assets is based on application of its proprietary valuation methods that rely on inputs provided by the Manager or its affiliates.</w:t>
      </w:r>
    </w:p>
    <w:p>
      <w:r>
        <w:t>(ii) Analysis. The named fiduciary must assess whether the assets have been or will be valued through a conflict-free and independent process. When a designated investment alternative is a continuation fund that has recently acquired or contemplates an imminent acquisition of assets in a transaction that may be materially and adversely affected by a significant conflict of interest, the fiduciary must determine that the conflict of interest has not and will not render the designated investment alternative's valuation inaccurate. The facts do not demonstrate that the fiduciary can make this determination.</w:t>
      </w:r>
    </w:p>
    <w:p>
      <w:r>
        <w:t>(iii) Conclusion. The facts in this example do not establish that the named fiduciary satisfied section 404(a)(1)(B) of ERISA and paragraph (j) of this section when selecting the designated investment alternative.</w:t>
      </w:r>
    </w:p>
    <w:p>
      <w:pPr>
        <w:pStyle w:val="Heading2"/>
      </w:pPr>
      <w:r>
        <w:t>Paragraph (k)</w:t>
      </w:r>
    </w:p>
    <w:p>
      <w:r>
        <w:t>(k) Performance benchmark. The plan fiduciary must appropriately consider and determine that each designated investment alternative has a meaningful benchmark, and compare the risk-adjusted expected returns of the designated investment alternative to the meaningful benchmark. There may be more than one meaningful benchmark for a designated investment alternative, however no single benchmark is a meaningful benchmark for all designated investment alternatives on a plan investment menu. A “meaningful benchmark” is an investment, strategy, index, or other comparator that has similar mandates, strategies, objectives, and risks to the designated investment alternative. The “risk-adjusted expected returns” of the designated investment alternative may be determined based on its historical performance unless it has none, in which case it may be determined based on the historical performance of a different investment with similar mandates, strategies, objectives, and risks and that is not the meaningful benchmark. While a plan fiduciary should identify benchmarks that are as meaningful as possible, there is no presumption or preference against new or innovative designated investment alternative designs. Instead, when considering a new or innovative product design, a fiduciary should seek to identify the best possible comparators to it while also scrutinizing the potential value proposition presented by the new or innovative design.</w:t>
      </w:r>
    </w:p>
    <w:p>
      <w:r>
        <w:t>(1) Example. Benchmark; Misalignment of strategies —(i) Facts. A participant-directed individual account plan offers a designated investment alternative that is a target date fund with an investment strategy and long-term objective of investing in different asset classes with varying degrees of risk, and which gradually becomes more conservative over time by adjusting the mix of asset classes. To compare the risk-adjusted expected returns of the target date fund to a meaningful benchmark, the named fiduciary compares the returns to a benchmark that is an index that only tracks the returns of large capitalization U.S. equities even though other benchmarks with more similarities to the designated investment alternative were readily available.</w:t>
      </w:r>
    </w:p>
    <w:p>
      <w:r>
        <w:t>(ii) Analysis. Paragraph (k) of this section provides that a “meaningful benchmark” is an investment, strategy, index, or other comparator that has similar mandates, strategies, objectives, and risks to the designated investment alternative.</w:t>
      </w:r>
    </w:p>
    <w:p>
      <w:r>
        <w:t>(iii) Conclusion. The facts in this example do not establish that the named fiduciary satisfied section 404(a)(1)(B) of ERISA and paragraph (k) of this section when selecting the designated investment alternative because the strategies of the benchmark are not similar to the investment strategy of the target-date fund and other benchmarks with more similarities were readily available.</w:t>
      </w:r>
    </w:p>
    <w:p>
      <w:r>
        <w:t>(2) Example. Custom composite benchmark; Private equity sleeve —(i) Facts. The named fiduciary of a participant-directed individual account plan selects as a designated investment alternative an asset allocation fund, which is registered under the Investment Company Act of 1940, that contains a private equity sleeve in addition to publicly traded stocks and bonds. In making this selection, the named fiduciary prudently enlists the assistance of an investment advice fiduciary within the meaning of section 3(21)(A)(ii) of ERISA. The investment advice fiduciary, who has no affiliation with the asset allocation fund, recommends the designated investment after creating a composite benchmark against which to measure risk-adjusted expected returns of the sleeves of the designated investment alternative. For the publicly traded stock and bond sleeves, the composite benchmark blends the performance of broad-based securities market indices reflective of and in proportion to the stock and bond holdings of the designated investment alternative. For the private equity sleeve, the investment advice fiduciary uses a combination of methodologies commonly used by investment professionals, including the internal rate of return method and a public market equivalent method, and presents these measures with explanations of how to interpret them to monitor the designated investment alternative's performance over time. The investment advice fiduciary also provides the named fiduciary with a written explanation of the composite benchmark. The named fiduciary reads, critically reviews, and understands the written explanation, and does not know, or have reason to know, other information which would cause the named fiduciary to question the written explanation.</w:t>
      </w:r>
    </w:p>
    <w:p>
      <w:r>
        <w:t>(ii) Analysis. The named fiduciary must ensure that its decision is based on a meaningful benchmark. In determining whether a particular benchmark is a meaningful benchmark, a named fiduciary may rely on a benchmark created by a prudently selected investment advice fiduciary that is independent of the manager of the designated investment alternative. A named fiduciary need not be more expert in benchmark construction and analytics than the investment advice expert hired by the named fiduciary to assist in the selection process.</w:t>
      </w:r>
    </w:p>
    <w:p>
      <w:r>
        <w:t>(iii) Conclusion. The named fiduciary in this example satisfies this paragraph (k) and ERISA section 404(a)(1)(B) by considering and determining that the designated investment alternative has a meaningful benchmark and comparing the risk-adjusted expected returns of the designated investment alternative to the meaningful benchmark. The composite benchmark reflects the strategies and proportions of the underlying assets of the designated investment alternative. The named fiduciary read, critically reviewed, and understood the investment advice fiduciary's explanation of the composite benchmark.</w:t>
      </w:r>
    </w:p>
    <w:p>
      <w:r>
        <w:t>(3) Example. Custom composite benchmark; Public securities —(i) Facts. The named fiduciary for a participant-directed individual account plan selects a target date fund as a designated investment alternative. The target date fund holds only publicly traded stocks and bonds. As part of the selection process, the fiduciary appropriately considers whether a particular custom composite benchmark is a meaningful benchmark. The custom composite benchmark is a blend of broad-based securities market indices. The blend represents the asset allocation used to implement the target date fund's strategy. The named fiduciary reads, critically reviews and understands the benchmark description and determines that the custom composite benchmark is a meaningful benchmark. The named fiduciary compares the historical performance of the target date fund to the historical returns of the custom composite benchmark as a means of evaluating the risk-adjusted expected returns of the target date fund.</w:t>
      </w:r>
    </w:p>
    <w:p>
      <w:r>
        <w:t>(ii) Analysis. In determining whether a particular benchmark is a meaningful benchmark with respect to a designated investment alternative, plan fiduciaries may rely on benchmarks that blend multiple broad-based securities market indices to represent the asset allocation used to implement the target date fund's strategy. Plan fiduciaries should review and understand the benchmark description or consult with an investment professional, as appropriate. The custom composite benchmark described in this example is meaningful because it reflects a similar strategy as the designated investment alternative. The custom composite benchmark can reveal whether the fund has outperformed or underperformed the benchmark in each asset class, providing valuable information to the plan fiduciary about the fund's investment selection decisions.</w:t>
      </w:r>
    </w:p>
    <w:p>
      <w:r>
        <w:t>(iii) Conclusion. The plan fiduciary in this example satisfies this paragraph (k) and ERISA section 404(a)(1)(B) by considering and determining within its discretion that the designated investment alternative has a meaningful benchmark and comparing the risk-adjusted expected returns of the designated investment alternative to the meaningful benchmark.</w:t>
      </w:r>
    </w:p>
    <w:p>
      <w:pPr>
        <w:pStyle w:val="Heading2"/>
      </w:pPr>
      <w:r>
        <w:t>Paragraph (l)</w:t>
      </w:r>
    </w:p>
    <w:p>
      <w:r>
        <w:t>(l) Complexity. The plan fiduciary must appropriately consider the complexity of the designated investment alternative and determine that it has the skills, knowledge, experience, and capacity to comprehend it sufficiently to discharge its obligations under ERISA and the governing plan documents or whether it must seek assistance from a qualified investment advice fiduciary, investment manager, or other individual.</w:t>
      </w:r>
    </w:p>
    <w:p>
      <w:r>
        <w:t>(1) Example. Complexity; Fees —(i) Facts. A participant-directed individual account plan offers a designated investment alternative that is a pooled investment vehicle with an investment strategy involving target positions in particular types of assets, which includes holdings of private assets. The private assets in the designated investment alternative are varied and use sophisticated and variable fee-based incentive structures to drive performance, including management fees and performance fees which include carried interest rights.</w:t>
      </w:r>
    </w:p>
    <w:p>
      <w:r>
        <w:t>(ii) Analysis. As described in more detail in paragraph (h), the fiduciary must determine that the fees and expenses of the designated investment alternative are appropriate, taking into account the designated investment alternative's risk-adjusted expected returns and any other value the designated investment alternative brings to furthering the purposes of the plan. In order to make this determination, the plan fiduciary must comprehend the fees that will be charged to the plan and determine, within its discretion, that such fees are appropriate given the value proposition offered by the designated investment alternative.</w:t>
      </w:r>
    </w:p>
    <w:p>
      <w:r>
        <w:t>(iii) Conclusion. A plan fiduciary is deemed to have met the comprehension requirements of paragraph (l) of this section, and section 404(a)(1)(B) of ERISA, with respect to the complexity of a designated investment alternative's fee structure in either of the two following scenarios.</w:t>
      </w:r>
    </w:p>
    <w:p>
      <w:r>
        <w:t>(A) In the first scenario, the plan fiduciary conducts relevant due diligence to understand each fee that the plan may pay, and, in so doing, critically evaluates and determines, including, if appropriate, with the advice of a third-party investment advice fiduciary within the meaning of section 3(21)(A)(ii) of ERISA, the average total expected rate of the designated investment alternative's fees, when fees will be paid, and how they will be determined. After this evaluation, the plan fiduciary determines (1) that the fee structure will deliver increased value by incentivizing performance which will, in turn, increase expected risk-adjusted return on investment and (2) that this increase outweighs the variability or potential unpredictability of the amount and timing of the fees.</w:t>
      </w:r>
    </w:p>
    <w:p>
      <w:r>
        <w:t>(B) In the second scenario, three conditions are met. First, the fiduciary obtains a written representation from the person responsible for managing the designated investment alternative, or otherwise performs adequate due diligence to confirm, that none of the underlying fees will be passed through to the plan, and that, instead, the plan will pay an appropriate, flat, AUM-based fee, to the person responsible for managing the designated investment alternative, who will then internalize the underlying fees. Second, the fiduciary reads, critically reviews, and understands any written representation and consults a qualified professional where appropriate. Third, the fiduciary does not know, or have reason to know, other information which would cause the fiduciary to question any written representation.</w:t>
      </w:r>
    </w:p>
    <w:p>
      <w:r>
        <w:t>(2) Example. Complexity; Participant needs —(i) Facts. The plan document for a participant-directed individual account plan specifies that the plan sponsor's chief financial officer is the named fiduciary of the plan and responsible for the establishment of the plan investment menu and selection and monitoring of designated investment alternatives. The named fiduciary does not enlist the services of an investment advice fiduciary within the meaning of section 3(21)(A)(ii) of ERISA, an investment manager within the meaning of section 3(38) of ERISA, or any other type of professional consultant. The named fiduciary adds a managed account service to create a customized portfolio tailored to each participant's unique financial circumstances as the plan's qualified default investment alternative. But, because the named fiduciary does not understand the design of the managed account service, the named fiduciary provides only the age of each participant to the managed account service, instead of providing, or allowing the participants to provide, information about the participants' unique financial circumstances. Based on each participant's age, the managed account service creates a portfolio for each participant that is materially similar in terms of strategies, historical performance, and liquidity to the portfolio that each participant would have been exposed to in the plan's target date fund—another designated investment alternative in the plan. The target date fund has substantially lower fees than the managed account service.</w:t>
      </w:r>
    </w:p>
    <w:p>
      <w:r>
        <w:t>(ii) Analysis. A plan fiduciary must, including with the help of professional investment advisers like third-party investment advice fiduciaries within the meaning of section 3(21)(A)(ii) of ERISA, when appropriate, determine that it has the skills, knowledge, experience, and capacity to understand each designated investment alternative sufficiently to discharge its obligations under ERISA and the governing plan documents.</w:t>
      </w:r>
    </w:p>
    <w:p>
      <w:r>
        <w:t>(iii) Conclusion. The facts in this example do not establish that the named fiduciary satisfied section 404(a)(1)(B) of ERISA and paragraph (l) of this section in selecting the management account service as a designated investment alternative. The selection and implementation process appears to be flawed because the named fiduciary failed to comprehend the features, values, and fees of the designated investment alternative. After an appropriate due diligence process, a plan fiduciary would ordinarily be expected to understand how a designated investment alternative functions and delivers value to plan participants and operationalize it accordingly.</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