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StepStone Private Markets (tender-offer fund ('40 Act), CIK 1789470)</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Meaningful benchmark (paragraph (k)): Cambridge Associates US PE benchmark at 9/12, no comparison computed (cited, series not in the record: no comparison computed).</w:t>
      </w:r>
    </w:p>
    <w:p>
      <w:r>
        <w:t>Reference comparison, not the meaningful benchmark: Listed private equity investable proxy (PSP), KS-PME 1.8718, Direct Alpha 13.36%/yr over 2021-03-31 to 2026-03-31.</w:t>
      </w:r>
    </w:p>
    <w:p>
      <w:r>
        <w:t>Peer comparison (paragraphs (g) and (h)): 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 (cell 1.12)</w:t>
      </w:r>
    </w:p>
    <w:p>
      <w:pPr>
        <w:pStyle w:val="ListBullet"/>
      </w:pPr>
      <w:r>
        <w:t>Liquidity: structural verdict partial, facts missing: gate_history (cells 3.1, 3.3)</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Cambridge Associates US PE benchmark</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private equity investable proxy (PSP)</w:t>
            </w:r>
          </w:p>
        </w:tc>
        <w:tc>
          <w:tcPr>
            <w:tcW w:type="dxa" w:w="864"/>
          </w:tcPr>
          <w:p>
            <w:r>
              <w:t>8/12</w:t>
            </w:r>
          </w:p>
        </w:tc>
        <w:tc>
          <w:tcPr>
            <w:tcW w:type="dxa" w:w="3888"/>
          </w:tcPr>
          <w:p>
            <w:r>
              <w:t>KS-PME 1.8718, Direct Alpha 13.36%/yr, 2021-03-31 to 2026-03-31</w:t>
            </w:r>
          </w:p>
        </w:tc>
      </w:tr>
      <w:tr>
        <w:tc>
          <w:tcPr>
            <w:tcW w:type="dxa" w:w="1152"/>
          </w:tcPr>
          <w:p>
            <w:r>
              <w:t>declared benchmark</w:t>
            </w:r>
          </w:p>
        </w:tc>
        <w:tc>
          <w:tcPr>
            <w:tcW w:type="dxa" w:w="3456"/>
          </w:tcPr>
          <w:p>
            <w:r>
              <w:t>MSCI World Index</w:t>
            </w:r>
          </w:p>
        </w:tc>
        <w:tc>
          <w:tcPr>
            <w:tcW w:type="dxa" w:w="864"/>
          </w:tcPr>
          <w:p>
            <w:r/>
          </w:p>
        </w:tc>
        <w:tc>
          <w:tcPr>
            <w:tcW w:type="dxa" w:w="3888"/>
          </w:tcPr>
          <w:p>
            <w:r>
              <w:t>held, scored 7/12, fails the strategy gate (strategy_match 1/3). KS-PME 1.185, Direct Alpha 3.45%/yr, 2021-03-31 to 2026-03-31</w:t>
            </w:r>
          </w:p>
        </w:tc>
      </w:tr>
      <w:tr>
        <w:tc>
          <w:tcPr>
            <w:tcW w:type="dxa" w:w="1152"/>
          </w:tcPr>
          <w:p>
            <w:r>
              <w:t>Peer comparison (paragraphs (g) and (h))</w:t>
            </w:r>
          </w:p>
        </w:tc>
        <w:tc>
          <w:tcPr>
            <w:tcW w:type="dxa" w:w="3456"/>
          </w:tcPr>
          <w:p>
            <w:r>
              <w:t>Peer composite, evergreen private equity cohort without StepStone Private Markets</w:t>
            </w:r>
          </w:p>
        </w:tc>
        <w:tc>
          <w:tcPr>
            <w:tcW w:type="dxa" w:w="864"/>
          </w:tcPr>
          <w:p>
            <w:r>
              <w:t>not scored</w:t>
            </w:r>
          </w:p>
        </w:tc>
        <w:tc>
          <w:tcPr>
            <w:tcW w:type="dxa" w:w="3888"/>
          </w:tcPr>
          <w:p>
            <w:r>
              <w:t>composite refused: members report on different year ends and no member has a series that builds a common calendar period (Hamilton Lane Private Assets Fund fiscal years to month 03, KKR Private Equity Conglomerate LLC calendar years, Ares Private Markets Fund fiscal years to month 03, AMG Pantheon Fund, LLC fiscal years to month 03, StepStone Private Markets fiscal years to month 03). A composite needs identical start and end dates for every member</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ranked below the selected candidate: 8/12 vs 9/12 for Cambridge PE benchmark</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approx. $5.8B</w:t>
            </w:r>
          </w:p>
        </w:tc>
        <w:tc>
          <w:tcPr>
            <w:tcW w:type="dxa" w:w="1152"/>
          </w:tcPr>
          <w:p>
            <w:r>
              <w:t>3.6</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w:t>
      </w:r>
    </w:p>
    <w:p>
      <w:r>
        <w:t>Fund capacity in dollars: $1.2B per year (20% of approx. $5.8B net assets, cell 3.6). The plan's demand at the filed rate is $8.5M per year, 0.73% of that capacity, a claim shared with every other holder.</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Fund capacity in dollars: 20% of approx. $5.8B net assets (cell 3.6) is $1.2B per year. At a 5% allocation ($79.3M) the plan's demand at the filed rate is $8.5M per year, 0.73%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1.91% expense ratio, AFFE excluded (FY2026, Class I)</w:t>
            </w:r>
          </w:p>
        </w:tc>
        <w:tc>
          <w:tcPr>
            <w:tcW w:type="dxa" w:w="2880"/>
          </w:tcPr>
          <w:p>
            <w:r>
              <w:t>extracted-unverified</w:t>
            </w:r>
          </w:p>
        </w:tc>
      </w:tr>
      <w:tr>
        <w:tc>
          <w:tcPr>
            <w:tcW w:type="dxa" w:w="2880"/>
          </w:tcPr>
          <w:p>
            <w:r>
              <w:t>2.4 AFFE</w:t>
            </w:r>
          </w:p>
        </w:tc>
        <w:tc>
          <w:tcPr>
            <w:tcW w:type="dxa" w:w="3600"/>
          </w:tcPr>
          <w:p>
            <w:r>
              <w:t>AFFE 0.59%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 typed fact for this cell</w:t>
            </w:r>
          </w:p>
        </w:tc>
        <w:tc>
          <w:tcPr>
            <w:tcW w:type="dxa" w:w="2880"/>
          </w:tcPr>
          <w:p>
            <w:r>
              <w:t>partial</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11,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