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ARK Venture Fund (TRUE interval fund (Rule 23c-3), venture/growth (ARKVX), CIK 1905088)</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CONDITIONAL-WEAK.</w:t>
      </w:r>
    </w:p>
    <w:p>
      <w:r>
        <w:t>Benchmark: escalated. NO MEANINGFUL BENCHMARK CONSTRUCTIBLE from the candidates scored for this pre-IPO and venture fund: no candidate passes the strategy gate at or above 7/12. Scored: PSP 7/12 (fails the strategy gate (1/3)), URTH 7/12 (fails the strategy gate (1/3)), SPY 7/12 (fails the strategy gate (1/3)). Required next: a published pre-IPO and venture strategy index with a series the record can hold.</w:t>
      </w:r>
    </w:p>
    <w:p>
      <w:r>
        <w:t>Peer comparison (paragraphs (g) and (h)): composite refused, fewer than 3 peers remain after leaving ARK Venture Fund out (2: Destiny Tech100 Inc, Neostellar Capital Corp.).</w:t>
      </w:r>
    </w:p>
    <w:p>
      <w:r>
        <w:t>Flags raised by the record (each restates a typed value or verdict, with its source):</w:t>
      </w:r>
    </w:p>
    <w:p>
      <w:pPr>
        <w:pStyle w:val="ListBullet"/>
      </w:pPr>
      <w:r>
        <w:t>Benchmark: NO MEANINGFUL BENCHMARK CONSTRUCTIBLE from the candidates scored for this pre-IPO and venture fund: no candidate passes the strategy gate at or above 7/12. Scored: PSP 7/12 (fails the strategy gate (1/3)), URTH 7/12 (fails the strategy gate (1/3)), SPY 7/12 (fails the strategy gate (1/3)). Required next: a published pre-IPO and venture strategy index with a series the record can hold. (benchmark selection)</w:t>
      </w:r>
    </w:p>
    <w:p>
      <w:pPr>
        <w:pStyle w:val="ListBullet"/>
      </w:pPr>
      <w:r>
        <w:t>Peer comparison: composite refused, fewer than 3 peers remain after leaving ARK Venture Fund out (2: Destiny Tech100 Inc, Neostellar Capital Corp.) (cell 1.12)</w:t>
      </w:r>
    </w:p>
    <w:p>
      <w:pPr>
        <w:pStyle w:val="ListBullet"/>
      </w:pPr>
      <w:r>
        <w:t>Liquidity: structural verdict partial, facts missing: gate_history (cells 3.1, 3.3)</w:t>
      </w:r>
    </w:p>
    <w:p>
      <w:pPr>
        <w:pStyle w:val="ListBullet"/>
      </w:pPr>
      <w:r>
        <w:t>Liquidity: ILLUSTRATIVE scenario verdict conditional-weak under this plan (the filed outflow proxy or the stressed demand above wrapper capacity)</w:t>
      </w:r>
    </w:p>
    <w:p>
      <w:r>
        <w:t>Evidence coverage: 44 of 44 resolvable, 0 verified, 11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No candidate is eligible on held data.</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SEC-required comparator</w:t>
            </w:r>
          </w:p>
        </w:tc>
        <w:tc>
          <w:tcPr>
            <w:tcW w:type="dxa" w:w="3456"/>
          </w:tcPr>
          <w:p>
            <w:r>
              <w:t>S&amp;P 500 Index</w:t>
            </w:r>
          </w:p>
        </w:tc>
        <w:tc>
          <w:tcPr>
            <w:tcW w:type="dxa" w:w="864"/>
          </w:tcPr>
          <w:p>
            <w:r/>
          </w:p>
        </w:tc>
        <w:tc>
          <w:tcPr>
            <w:tcW w:type="dxa" w:w="3888"/>
          </w:tcPr>
          <w:p>
            <w:r>
              <w:t>held, scored 7/12, fails the strategy gate (strategy_match 1/3). KS-PME 1.3988, Direct Alpha 9.04%/yr, 2022-08-31 to 2026-07-17</w:t>
            </w:r>
          </w:p>
        </w:tc>
      </w:tr>
      <w:tr>
        <w:tc>
          <w:tcPr>
            <w:tcW w:type="dxa" w:w="1152"/>
          </w:tcPr>
          <w:p>
            <w:r>
              <w:t>SEC-required comparator</w:t>
            </w:r>
          </w:p>
        </w:tc>
        <w:tc>
          <w:tcPr>
            <w:tcW w:type="dxa" w:w="3456"/>
          </w:tcPr>
          <w:p>
            <w:r>
              <w:t>MSCI World (Net) Index</w:t>
            </w:r>
          </w:p>
        </w:tc>
        <w:tc>
          <w:tcPr>
            <w:tcW w:type="dxa" w:w="864"/>
          </w:tcPr>
          <w:p>
            <w:r/>
          </w:p>
        </w:tc>
        <w:tc>
          <w:tcPr>
            <w:tcW w:type="dxa" w:w="3888"/>
          </w:tcPr>
          <w:p>
            <w:r>
              <w:t>held, scored 7/12, fails the strategy gate (strategy_match 1/3). KS-PME 1.4242, Direct Alpha 9.55%/yr, 2022-08-31 to 2026-07-17</w:t>
            </w:r>
          </w:p>
        </w:tc>
      </w:tr>
      <w:tr>
        <w:tc>
          <w:tcPr>
            <w:tcW w:type="dxa" w:w="1152"/>
          </w:tcPr>
          <w:p>
            <w:r>
              <w:t>Peer comparison (paragraphs (g) and (h))</w:t>
            </w:r>
          </w:p>
        </w:tc>
        <w:tc>
          <w:tcPr>
            <w:tcW w:type="dxa" w:w="3456"/>
          </w:tcPr>
          <w:p>
            <w:r>
              <w:t>Peer composite, pre-IPO and venture cohort without ARK Venture Fund</w:t>
            </w:r>
          </w:p>
        </w:tc>
        <w:tc>
          <w:tcPr>
            <w:tcW w:type="dxa" w:w="864"/>
          </w:tcPr>
          <w:p>
            <w:r>
              <w:t>not scored</w:t>
            </w:r>
          </w:p>
        </w:tc>
        <w:tc>
          <w:tcPr>
            <w:tcW w:type="dxa" w:w="3888"/>
          </w:tcPr>
          <w:p>
            <w:r>
              <w:t>composite refused: fewer than 3 peers remain after leaving ARK Venture Fund out (2: Destiny Tech100 Inc, Neostellar Capital Corp.)</w:t>
            </w:r>
          </w:p>
        </w:tc>
      </w:tr>
      <w:tr>
        <w:tc>
          <w:tcPr>
            <w:tcW w:type="dxa" w:w="1152"/>
          </w:tcPr>
          <w:p>
            <w:r>
              <w:t>rejected</w:t>
            </w:r>
          </w:p>
        </w:tc>
        <w:tc>
          <w:tcPr>
            <w:tcW w:type="dxa" w:w="3456"/>
          </w:tcPr>
          <w:p>
            <w:r>
              <w:t>Listed private equity investable proxy (PSP)</w:t>
            </w:r>
          </w:p>
        </w:tc>
        <w:tc>
          <w:tcPr>
            <w:tcW w:type="dxa" w:w="864"/>
          </w:tcPr>
          <w:p>
            <w:r>
              <w:t>7/12</w:t>
            </w:r>
          </w:p>
        </w:tc>
        <w:tc>
          <w:tcPr>
            <w:tcW w:type="dxa" w:w="3888"/>
          </w:tcPr>
          <w:p>
            <w:r>
              <w:t>rejected: strategy gate (score 7/12 but strategy_match 1/3)</w:t>
            </w:r>
          </w:p>
        </w:tc>
      </w:tr>
      <w:tr>
        <w:tc>
          <w:tcPr>
            <w:tcW w:type="dxa" w:w="1152"/>
          </w:tcPr>
          <w:p>
            <w:r>
              <w:t>rejected</w:t>
            </w:r>
          </w:p>
        </w:tc>
        <w:tc>
          <w:tcPr>
            <w:tcW w:type="dxa" w:w="3456"/>
          </w:tcPr>
          <w:p>
            <w:r>
              <w:t>MSCI World investable proxy (URTH)</w:t>
            </w:r>
          </w:p>
        </w:tc>
        <w:tc>
          <w:tcPr>
            <w:tcW w:type="dxa" w:w="864"/>
          </w:tcPr>
          <w:p>
            <w:r>
              <w:t>7/12</w:t>
            </w:r>
          </w:p>
        </w:tc>
        <w:tc>
          <w:tcPr>
            <w:tcW w:type="dxa" w:w="3888"/>
          </w:tcPr>
          <w:p>
            <w:r>
              <w:t>rejected: strategy gate (score 7/12 but strategy_match 1/3)</w:t>
            </w:r>
          </w:p>
        </w:tc>
      </w:tr>
      <w:tr>
        <w:tc>
          <w:tcPr>
            <w:tcW w:type="dxa" w:w="1152"/>
          </w:tcPr>
          <w:p>
            <w:r>
              <w:t>rejected</w:t>
            </w:r>
          </w:p>
        </w:tc>
        <w:tc>
          <w:tcPr>
            <w:tcW w:type="dxa" w:w="3456"/>
          </w:tcPr>
          <w:p>
            <w:r>
              <w:t>S&amp;P 500 investable proxy (SPY)</w:t>
            </w:r>
          </w:p>
        </w:tc>
        <w:tc>
          <w:tcPr>
            <w:tcW w:type="dxa" w:w="864"/>
          </w:tcPr>
          <w:p>
            <w:r>
              <w:t>7/12</w:t>
            </w:r>
          </w:p>
        </w:tc>
        <w:tc>
          <w:tcPr>
            <w:tcW w:type="dxa" w:w="3888"/>
          </w:tcPr>
          <w:p>
            <w:r>
              <w:t>rejected: strategy gate (score 7/12 but strategy_match 1/3)</w:t>
            </w:r>
          </w:p>
        </w:tc>
      </w:tr>
    </w:tbl>
    <w:p>
      <w:pPr>
        <w:pStyle w:val="Heading1"/>
      </w:pPr>
      <w:r>
        <w:t>Exhibit B. Liquidity match for this plan</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(no gating, suspension or postponement is disclosed, but the tendered-versus-accepted amounts are not printed: the Sep-2024 offer was fully utilized at its cap with proration, if any, not stated (R2-P1-12 rule)).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no gating, suspension or postponement is disclosed, but the tendered-versus-accepted amounts are not printed: the Sep-2024 offer was fully utilized at its cap with proration, if any, not stated (R2-P1-12 rule)</w:t>
            </w:r>
          </w:p>
        </w:tc>
        <w:tc>
          <w:tcPr>
            <w:tcW w:type="dxa" w:w="1152"/>
          </w:tcPr>
          <w:p>
            <w:r>
              <w:t>3.3</w:t>
            </w:r>
          </w:p>
        </w:tc>
      </w:tr>
      <w:tr>
        <w:tc>
          <w:tcPr>
            <w:tcW w:type="dxa" w:w="2448"/>
          </w:tcPr>
          <w:p>
            <w:r>
              <w:t>Repurchase program status</w:t>
            </w:r>
          </w:p>
        </w:tc>
        <w:tc>
          <w:tcPr>
            <w:tcW w:type="dxa" w:w="5760"/>
          </w:tcPr>
          <w:p>
            <w:r>
              <w:t>not typed: no suspension language in 3.1 or 3.3 as of 2025-07-31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2.75% on net assets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2.90% expense ratio, net of waivers, 4.39% gross (FY2025)</w:t>
            </w:r>
          </w:p>
        </w:tc>
        <w:tc>
          <w:tcPr>
            <w:tcW w:type="dxa" w:w="2880"/>
          </w:tcPr>
          <w:p>
            <w:r>
              <w:t>extracted-unverified</w:t>
            </w:r>
          </w:p>
        </w:tc>
      </w:tr>
      <w:tr>
        <w:tc>
          <w:tcPr>
            <w:tcW w:type="dxa" w:w="2880"/>
          </w:tcPr>
          <w:p>
            <w:r>
              <w:t>2.4 AFFE</w:t>
            </w:r>
          </w:p>
        </w:tc>
        <w:tc>
          <w:tcPr>
            <w:tcW w:type="dxa" w:w="3600"/>
          </w:tcPr>
          <w:p>
            <w:r>
              <w:t>AFFE 0.01%</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Pre-IPO / venture growth (listed CEF + listed BDC + interval fund) (n=3). Interval fund holding venture/growth, the NAV-priced contrast to the two market-priced members. Pricing-basis mix is the cohort's disclosed core caveat (composite refused).</w:t>
      </w:r>
    </w:p>
    <w:p>
      <w:r>
        <w:t>Cohort placement (pre-IPO and venture cohort): mgmt fee: above the cohort median of 2.5 (n=3, too small for percentile language) | expense ratio (bases differ, see notes): below the cohort median of 4.53 (n=3, too small for percentile language) | repurchase cap: only member with this fact (n=1). Statistics and per-member values are in the cohort artifact, membership rationales in the typed facts.</w:t>
      </w:r>
    </w:p>
    <w:p>
      <w:pPr>
        <w:pStyle w:val="ListBullet"/>
      </w:pPr>
      <w:r>
        <w:t>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NAV-CADENCE MIX: daily, monthly, and quarterly NAV processes embed different appraisal smoothing. Volatility and drawdown comparisons inherit that difference (see de-smoothing lab). [typed per product: arkvx: daily, dxyz: quarterly, ssss: quarterly]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27, verified 0, computed 14, partial 2, fetched 1, n/a 11,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