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media/technology company 401(k) plan (~$570M, New York)</w:t>
        <w:br/>
      </w:r>
      <w:r>
        <w:t>Product: Blackstone Private Credit Fund (non-traded BDC ('34 Act reporting; continuous offering), CIK 1803498)</w:t>
        <w:br/>
      </w:r>
      <w:r>
        <w:t>Record as of 2026-09-04. DRAFT, generated by the build from the record. The decision memo for the same plan and product is a separate document.</w:t>
      </w:r>
    </w:p>
    <w:p>
      <w:pPr>
        <w:pStyle w:val="Heading1"/>
      </w:pPr>
      <w:r>
        <w:t>Summary</w:t>
      </w:r>
    </w:p>
    <w:p>
      <w:r>
        <w:t>Structural liquidity verdict: CONDITIONAL-WEAK (typed facts, plan-independent). Scenario verdict under this plan (ILLUSTRATIVE, default sliders): CONDITIONAL-WEAK.</w:t>
      </w:r>
    </w:p>
    <w:p>
      <w:r>
        <w:t>Meaningful benchmark (paragraph (k)): Cliffwater Direct Lending Index (CDLI) at 9/12, no comparison computed (cited, series not in the record: no comparison computed).</w:t>
      </w:r>
    </w:p>
    <w:p>
      <w:r>
        <w:t>Reference comparison, not the meaningful benchmark: Senior loan investable proxy (BKLN, for Morningstar LSTA class), KS-PME 1.2378, Direct Alpha 4.38%/yr over 2021-01-07 to 2025-12-31.</w:t>
      </w:r>
    </w:p>
    <w:p>
      <w:r>
        <w:t>Peer comparison (paragraphs (g) and (h)): relative wealth ratio 1.0986, annualized excess return 1.9%/yr (not a public market equivalent) vs the peer composite over 2021 to 2025 (n=4), not a benchmark.</w:t>
      </w:r>
    </w:p>
    <w:p>
      <w:r>
        <w:t>Flags raised by the record (each restates a typed value or verdict, with its source):</w:t>
      </w:r>
    </w:p>
    <w:p>
      <w:pPr>
        <w:pStyle w:val="ListBullet"/>
      </w:pPr>
      <w:r>
        <w:t>Benchmark: the meaningful benchmark carries no computed comparison (cited, series not in the record: no comparison computed) (benchmark selection)</w:t>
      </w:r>
    </w:p>
    <w:p>
      <w:pPr>
        <w:pStyle w:val="ListBullet"/>
      </w:pPr>
      <w:r>
        <w:t>Liquidity: gating precedent, repurchases prorated under stress (cell 3.3)</w:t>
      </w:r>
    </w:p>
    <w:p>
      <w:pPr>
        <w:pStyle w:val="ListBullet"/>
      </w:pPr>
      <w:r>
        <w:t>Liquidity: ILLUSTRATIVE scenario verdict conditional-weak under this plan (the filed outflow proxy or the stressed demand above wrapper capacity)</w:t>
      </w:r>
    </w:p>
    <w:p>
      <w:r>
        <w:t>Evidence coverage: 42 of 42 resolvable, 0 verified, 13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affiliated providers ineligible. Max attainable by an eligible candidate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Meaningful benchmark (paragraph (k))</w:t>
            </w:r>
          </w:p>
        </w:tc>
        <w:tc>
          <w:tcPr>
            <w:tcW w:type="dxa" w:w="3456"/>
          </w:tcPr>
          <w:p>
            <w:r>
              <w:t>Cliffwater Direct Lending Index (CDLI)</w:t>
            </w:r>
          </w:p>
        </w:tc>
        <w:tc>
          <w:tcPr>
            <w:tcW w:type="dxa" w:w="864"/>
          </w:tcPr>
          <w:p>
            <w:r>
              <w:t>9/12</w:t>
            </w:r>
          </w:p>
        </w:tc>
        <w:tc>
          <w:tcPr>
            <w:tcW w:type="dxa" w:w="3888"/>
          </w:tcPr>
          <w:p>
            <w:r>
              <w:t>selected, no comparison computed: cited, series not in the record: no comparison computed</w:t>
            </w:r>
          </w:p>
        </w:tc>
      </w:tr>
      <w:tr>
        <w:tc>
          <w:tcPr>
            <w:tcW w:type="dxa" w:w="1152"/>
          </w:tcPr>
          <w:p>
            <w:r>
              <w:t>reference, not the benchmark</w:t>
            </w:r>
          </w:p>
        </w:tc>
        <w:tc>
          <w:tcPr>
            <w:tcW w:type="dxa" w:w="3456"/>
          </w:tcPr>
          <w:p>
            <w:r>
              <w:t>Senior loan investable proxy (BKLN, for Morningstar LSTA class)</w:t>
            </w:r>
          </w:p>
        </w:tc>
        <w:tc>
          <w:tcPr>
            <w:tcW w:type="dxa" w:w="864"/>
          </w:tcPr>
          <w:p>
            <w:r>
              <w:t>8/12</w:t>
            </w:r>
          </w:p>
        </w:tc>
        <w:tc>
          <w:tcPr>
            <w:tcW w:type="dxa" w:w="3888"/>
          </w:tcPr>
          <w:p>
            <w:r>
              <w:t>KS-PME 1.2378, Direct Alpha 4.38%/yr, 2021-01-07 to 2025-12-31</w:t>
            </w:r>
          </w:p>
        </w:tc>
      </w:tr>
      <w:tr>
        <w:tc>
          <w:tcPr>
            <w:tcW w:type="dxa" w:w="1152"/>
          </w:tcPr>
          <w:p>
            <w:r>
              <w:t>Peer comparison (paragraphs (g) and (h))</w:t>
            </w:r>
          </w:p>
        </w:tc>
        <w:tc>
          <w:tcPr>
            <w:tcW w:type="dxa" w:w="3456"/>
          </w:tcPr>
          <w:p>
            <w:r>
              <w:t>Peer composite, private credit cohort without Blackstone Private Credit Fund</w:t>
            </w:r>
          </w:p>
        </w:tc>
        <w:tc>
          <w:tcPr>
            <w:tcW w:type="dxa" w:w="864"/>
          </w:tcPr>
          <w:p>
            <w:r>
              <w:t>not scored</w:t>
            </w:r>
          </w:p>
        </w:tc>
        <w:tc>
          <w:tcPr>
            <w:tcW w:type="dxa" w:w="3888"/>
          </w:tcPr>
          <w:p>
            <w:r>
              <w:t>relative wealth ratio 1.0986, annualized excess return 1.9%/yr (not a public market equivalent), 2021 to 2025 (n=4)</w:t>
            </w:r>
          </w:p>
        </w:tc>
      </w:tr>
      <w:tr>
        <w:tc>
          <w:tcPr>
            <w:tcW w:type="dxa" w:w="1152"/>
          </w:tcPr>
          <w:p>
            <w:r>
              <w:t>rejected</w:t>
            </w:r>
          </w:p>
        </w:tc>
        <w:tc>
          <w:tcPr>
            <w:tcW w:type="dxa" w:w="3456"/>
          </w:tcPr>
          <w:p>
            <w:r>
              <w:t>Senior loan investable proxy (BKLN, for Morningstar LSTA class)</w:t>
            </w:r>
          </w:p>
        </w:tc>
        <w:tc>
          <w:tcPr>
            <w:tcW w:type="dxa" w:w="864"/>
          </w:tcPr>
          <w:p>
            <w:r>
              <w:t>8/12</w:t>
            </w:r>
          </w:p>
        </w:tc>
        <w:tc>
          <w:tcPr>
            <w:tcW w:type="dxa" w:w="3888"/>
          </w:tcPr>
          <w:p>
            <w:r>
              <w:t>ranked below the selected candidate: 8/12 vs 9/12 for CDLI</w:t>
            </w:r>
          </w:p>
        </w:tc>
      </w:tr>
      <w:tr>
        <w:tc>
          <w:tcPr>
            <w:tcW w:type="dxa" w:w="1152"/>
          </w:tcPr>
          <w:p>
            <w:r>
              <w:t>rejected</w:t>
            </w:r>
          </w:p>
        </w:tc>
        <w:tc>
          <w:tcPr>
            <w:tcW w:type="dxa" w:w="3456"/>
          </w:tcPr>
          <w:p>
            <w:r>
              <w:t>Credit Suisse Leveraged Loan Index (CSLLI)</w:t>
            </w:r>
          </w:p>
        </w:tc>
        <w:tc>
          <w:tcPr>
            <w:tcW w:type="dxa" w:w="864"/>
          </w:tcPr>
          <w:p>
            <w:r>
              <w:t>6/12</w:t>
            </w:r>
          </w:p>
        </w:tc>
        <w:tc>
          <w:tcPr>
            <w:tcW w:type="dxa" w:w="3888"/>
          </w:tcPr>
          <w:p>
            <w:r>
              <w:t>score 6/12 below the threshold 7/12</w:t>
            </w:r>
          </w:p>
        </w:tc>
      </w:tr>
      <w:tr>
        <w:tc>
          <w:tcPr>
            <w:tcW w:type="dxa" w:w="1152"/>
          </w:tcPr>
          <w:p>
            <w:r>
              <w:t>rejected</w:t>
            </w:r>
          </w:p>
        </w:tc>
        <w:tc>
          <w:tcPr>
            <w:tcW w:type="dxa" w:w="3456"/>
          </w:tcPr>
          <w:p>
            <w:r>
              <w:t>Morningstar LSTA US Leveraged Loan Index</w:t>
            </w:r>
          </w:p>
        </w:tc>
        <w:tc>
          <w:tcPr>
            <w:tcW w:type="dxa" w:w="864"/>
          </w:tcPr>
          <w:p>
            <w:r>
              <w:t>6/12</w:t>
            </w:r>
          </w:p>
        </w:tc>
        <w:tc>
          <w:tcPr>
            <w:tcW w:type="dxa" w:w="3888"/>
          </w:tcPr>
          <w:p>
            <w:r>
              <w:t>score 6/12 below the threshold 7/12</w:t>
            </w:r>
          </w:p>
        </w:tc>
      </w:tr>
    </w:tbl>
    <w:p>
      <w:pPr>
        <w:pStyle w:val="Heading1"/>
      </w:pPr>
      <w:r>
        <w:t>Exhibit B. Liquidity match for this plan</w:t>
      </w:r>
    </w:p>
    <w:p>
      <w:r>
        <w:t>Plan: US media/technology company 401(k) plan (~$570M, New York).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CONDITIONAL-WEAK</w:t>
      </w:r>
    </w:p>
    <w:p>
      <w:pPr>
        <w:pStyle w:val="ListBullet"/>
      </w:pPr>
      <w:r>
        <w:t>STRUCTURAL GAP: a participant-directed 404(c) menu assumes daily pricing and daily participant liquidity, whereas this wrapper deals quarterly with a 5% cap per quarter on NAV. Direct DIA use requires a bridging structure: CIT sleeve, managed account, or TDF sleeve (cell 3.5).</w:t>
      </w:r>
    </w:p>
    <w:p>
      <w:pPr>
        <w:pStyle w:val="ListBullet"/>
      </w:pPr>
      <w:r>
        <w:t>Gating precedent: this issuer has prorated repurchases when requests exceeded caps (3.3). Capacity on paper has failed in stress before.</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BDC</w:t>
            </w:r>
          </w:p>
        </w:tc>
        <w:tc>
          <w:tcPr>
            <w:tcW w:type="dxa" w:w="1152"/>
          </w:tcPr>
          <w:p>
            <w:r>
              <w:t>6.1</w:t>
            </w:r>
          </w:p>
        </w:tc>
      </w:tr>
      <w:tr>
        <w:tc>
          <w:tcPr>
            <w:tcW w:type="dxa" w:w="2448"/>
          </w:tcPr>
          <w:p>
            <w:r>
              <w:t>Dealing terms</w:t>
            </w:r>
          </w:p>
        </w:tc>
        <w:tc>
          <w:tcPr>
            <w:tcW w:type="dxa" w:w="5760"/>
          </w:tcPr>
          <w:p>
            <w:r>
              <w:t>quarterly offers, 5% cap per quarter on NAV</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yes, prorated under stress</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r>
        <w:tc>
          <w:tcPr>
            <w:tcW w:type="dxa" w:w="2448"/>
          </w:tcPr>
          <w:p>
            <w:r>
              <w:t>Fund net assets (for the dollar capacity)</w:t>
            </w:r>
          </w:p>
        </w:tc>
        <w:tc>
          <w:tcPr>
            <w:tcW w:type="dxa" w:w="5760"/>
          </w:tcPr>
          <w:p>
            <w:r>
              <w:t>not typed: aggregate net assets not yet carried into a typed cell. Verification-queue item</w:t>
            </w:r>
          </w:p>
        </w:tc>
        <w:tc>
          <w:tcPr>
            <w:tcW w:type="dxa" w:w="1152"/>
          </w:tcPr>
          <w:p>
            <w:r>
              <w:t>3.6</w:t>
            </w:r>
          </w:p>
        </w:tc>
      </w:tr>
    </w:tbl>
    <w:p>
      <w:pPr>
        <w:pStyle w:val="Heading2"/>
      </w:pPr>
      <w:r>
        <w:t>Scenario (ILLUSTRATIVE, this plan)</w:t>
      </w:r>
    </w:p>
    <w:p>
      <w:r>
        <w:t>Plan inputs (Form 5500): net assets $565.8M, liquidity tail 36.1% of accounts (1,847 separated participants with balances), filed outflow proxy 11.7% of beginning net assets per year (Schedule H totals of the plan's Form 5500 for plan year 2024-01-01 to 2024-12-31, from the plan record: total expenses less administrative expenses over beginning net assets, an upper bound on benefit payments while Schedule H line 2e is not in the record).</w:t>
      </w:r>
    </w:p>
    <w:p>
      <w:r>
        <w:t>Base demand (filed outflow proxy applied to a 5% allocation = $28.3M): $3.3M/yr = 11.7% of the position per year vs annual wrapper capacity 20%.</w:t>
      </w:r>
    </w:p>
    <w:p>
      <w:r>
        <w:t>Slider assumption (adjustable on the site, not a fact): tail turnover 20%/yr, active turnover 5%/yr, 10.4% of the position per year = $2.9M/yr, shown beside the filed rate, not blended with it.</w:t>
      </w:r>
    </w:p>
    <w:p>
      <w:r>
        <w:t>Stressed (the filed outflow proxy plus the increment the sliders add under stress (tail turnover x2, active turnover x1.5 over the slider assumption)): demand $5.8M/yr = 20.5% of the position. EXCEEDS annual wrapper capacity (20.5% vs 20%). Unmet demand rolls into later windows (gating-equivalent outcome).</w:t>
      </w:r>
    </w:p>
    <w:p>
      <w:r>
        <w:t>Fund capacity in dollars: not computable, the fund's net assets are not typed in the record (aggregate net assets not yet carried into a typed cell. Verification-queue item), so the plan's dollar demand cannot be set against the fund's dollar capacity and the allocation slider is not shown.</w:t>
      </w:r>
    </w:p>
    <w:p>
      <w:r>
        <w:t>Scenario verdict (ILLUSTRATIVE, this plan): CONDITIONAL-WEAK.</w:t>
      </w:r>
    </w:p>
    <w:p>
      <w:pPr>
        <w:pStyle w:val="ListBullet"/>
      </w:pPr>
      <w:r>
        <w:t>Capacity: 5% per quarter on NAV: at most 20% of the position per year. This is a FUND-level cap shared by every holder, so the plan's position is served only while offers are not oversubscribed.</w:t>
      </w:r>
    </w:p>
    <w:p>
      <w:pPr>
        <w:pStyle w:val="ListBullet"/>
      </w:pPr>
      <w:r>
        <w:t>Filed outflow proxy (Schedule H, plan year 2024-01-01 to 2024-12-31): 11.7% of the position per year vs 20% annual wrapper capacity, the plan's total expenses less administrative expenses over beginning net assets, applied to the position. Adequate headroom at the filed rate if offers are not prorated.</w:t>
      </w:r>
    </w:p>
    <w:p>
      <w:pPr>
        <w:pStyle w:val="ListBullet"/>
      </w:pPr>
      <w:r>
        <w:t>Slider assumption (illustrative): 10.4% of the position per year vs 20% annual wrapper capacity, from tail turnover 20%/yr on the 36.1% of accounts that are separated and active turnover 5%/yr on the rest. Shown beside the filed rate, not blended with it. Within 60% of wrapper capacity at these sliders.</w:t>
      </w:r>
    </w:p>
    <w:p>
      <w:pPr>
        <w:pStyle w:val="ListBullet"/>
      </w:pPr>
      <w:r>
        <w:t>Scenario verdict (ILLUSTRATIVE, this plan): conditional-weak.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3.7, plan: plan_tech_media.json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net assets</w:t>
            </w:r>
          </w:p>
        </w:tc>
        <w:tc>
          <w:tcPr>
            <w:tcW w:type="dxa" w:w="2880"/>
          </w:tcPr>
          <w:p>
            <w:r>
              <w:t>extracted-unverified</w:t>
            </w:r>
          </w:p>
        </w:tc>
      </w:tr>
      <w:tr>
        <w:tc>
          <w:tcPr>
            <w:tcW w:type="dxa" w:w="2880"/>
          </w:tcPr>
          <w:p>
            <w:r>
              <w:t>2.2 Incentive fee terms</w:t>
            </w:r>
          </w:p>
        </w:tc>
        <w:tc>
          <w:tcPr>
            <w:tcW w:type="dxa" w:w="3600"/>
          </w:tcPr>
          <w:p>
            <w:r>
              <w:t>incentive fee: 12.5% / 5% hurdle</w:t>
            </w:r>
          </w:p>
        </w:tc>
        <w:tc>
          <w:tcPr>
            <w:tcW w:type="dxa" w:w="2880"/>
          </w:tcPr>
          <w:p>
            <w:r>
              <w:t>extracted-unverified</w:t>
            </w:r>
          </w:p>
        </w:tc>
      </w:tr>
      <w:tr>
        <w:tc>
          <w:tcPr>
            <w:tcW w:type="dxa" w:w="2880"/>
          </w:tcPr>
          <w:p>
            <w:r>
              <w:t>2.3 Total expense ratio &amp; waivers</w:t>
            </w:r>
          </w:p>
        </w:tc>
        <w:tc>
          <w:tcPr>
            <w:tcW w:type="dxa" w:w="3600"/>
          </w:tcPr>
          <w:p>
            <w:r>
              <w:t>7.00% expense ratio, including the interest and financing cost of BDC leverage (FY2025, Class I)</w:t>
            </w:r>
          </w:p>
        </w:tc>
        <w:tc>
          <w:tcPr>
            <w:tcW w:type="dxa" w:w="2880"/>
          </w:tcPr>
          <w:p>
            <w:r>
              <w:t>extracted-unverified</w:t>
            </w:r>
          </w:p>
        </w:tc>
      </w:tr>
      <w:tr>
        <w:tc>
          <w:tcPr>
            <w:tcW w:type="dxa" w:w="2880"/>
          </w:tcPr>
          <w:p>
            <w:r>
              <w:t>2.4 AFFE</w:t>
            </w:r>
          </w:p>
        </w:tc>
        <w:tc>
          <w:tcPr>
            <w:tcW w:type="dxa" w:w="3600"/>
          </w:tcPr>
          <w:p>
            <w:r>
              <w:t>AFFE 0.02%</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2% &lt; 1 year</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Private credit (interval fund + non-traded BDC) (n=5). Direct-lending private credit in a non-traded BDC chassis: the same strategy as cclfx on different plumbing (150% asset-coverage leverage, discretionary quarterly tenders, monthly NAV). Admitted deliberately cross-wrapper so the caveat machinery has real work.</w:t>
      </w:r>
    </w:p>
    <w:p>
      <w:r>
        <w:t>Cohort placement (private credit cohort): mgmt fee: 50th percentile of cohort (n=5), at the median of 1.25 | expense ratio (bases differ, see notes): 70th percentile of cohort (n=5), above the median of 3.76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w:t>
      </w:r>
    </w:p>
    <w:p>
      <w:pPr>
        <w:pStyle w:val="Heading1"/>
      </w:pPr>
      <w:r>
        <w:t>Provenance</w:t>
      </w:r>
    </w:p>
    <w:p>
      <w:r>
        <w:t>Cell status for this product: structured 0, extracted-unverified 26, verified 0, computed 11, partial 4, fetched 1, n/a 13,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