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CION Ares Diversified Credit Fund (interval fund (Rule 23c-3, quarterly repurchases), CIK 1678124)</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CONDITIONAL-WEAK.</w:t>
      </w:r>
    </w:p>
    <w:p>
      <w:r>
        <w:t>Meaningful benchmark (paragraph (k)): Cliffwater Direct Lending Index (CDLI) at 8/12, no comparison computed (cited, series not in the record: no comparison computed).</w:t>
      </w:r>
    </w:p>
    <w:p>
      <w:r>
        <w:t>Reference comparison, not the meaningful benchmark: Senior loan investable proxy (BKLN, for Morningstar LSTA class), KS-PME 1.1374, Direct Alpha 1.62%/yr over 2018-07-18 to 2026-07-17.</w:t>
      </w:r>
    </w:p>
    <w:p>
      <w:r>
        <w:t>Peer comparison (paragraphs (g) and (h)): relative wealth ratio 0.9503, annualized excess return -1.01%/yr (not a public market equivalent) vs the peer composite over 2021 to 2025 (n=4), not a benchmark.</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Liquidity: ILLUSTRATIVE scenario verdict conditional-weak under this plan (the filed outflow proxy or the stressed demand above wrapper capacity)</w:t>
      </w:r>
    </w:p>
    <w:p>
      <w:r>
        <w:t>Evidence coverage: 46 of 46 resolvable, 0 verified, 9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8/12.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Cliffwater Direct Lending Index (CDLI)</w:t>
            </w:r>
          </w:p>
        </w:tc>
        <w:tc>
          <w:tcPr>
            <w:tcW w:type="dxa" w:w="864"/>
          </w:tcPr>
          <w:p>
            <w:r>
              <w:t>8/12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Senior loan investable proxy (BKLN, for Morningstar LSTA class)</w:t>
            </w:r>
          </w:p>
        </w:tc>
        <w:tc>
          <w:tcPr>
            <w:tcW w:type="dxa" w:w="864"/>
          </w:tcPr>
          <w:p>
            <w:r>
              <w:t>8/12</w:t>
            </w:r>
          </w:p>
        </w:tc>
        <w:tc>
          <w:tcPr>
            <w:tcW w:type="dxa" w:w="3888"/>
          </w:tcPr>
          <w:p>
            <w:r>
              <w:t>KS-PME 1.1374, Direct Alpha 1.62%/yr, 2018-07-18 to 2026-07-17</w:t>
            </w:r>
          </w:p>
        </w:tc>
      </w:tr>
      <w:tr>
        <w:tc>
          <w:tcPr>
            <w:tcW w:type="dxa" w:w="1152"/>
          </w:tcPr>
          <w:p>
            <w:r>
              <w:t>SEC-required comparator</w:t>
            </w:r>
          </w:p>
        </w:tc>
        <w:tc>
          <w:tcPr>
            <w:tcW w:type="dxa" w:w="3456"/>
          </w:tcPr>
          <w:p>
            <w:r>
              <w:t>Credit Suisse Leveraged Loan Index</w:t>
            </w:r>
          </w:p>
        </w:tc>
        <w:tc>
          <w:tcPr>
            <w:tcW w:type="dxa" w:w="864"/>
          </w:tcPr>
          <w:p>
            <w:r/>
          </w:p>
        </w:tc>
        <w:tc>
          <w:tcPr>
            <w:tcW w:type="dxa" w:w="3888"/>
          </w:tcPr>
          <w:p>
            <w:r>
              <w:t>cited, not held, scored 6/12, below the threshold</w:t>
            </w:r>
          </w:p>
        </w:tc>
      </w:tr>
      <w:tr>
        <w:tc>
          <w:tcPr>
            <w:tcW w:type="dxa" w:w="1152"/>
          </w:tcPr>
          <w:p>
            <w:r>
              <w:t>Peer comparison (paragraphs (g) and (h))</w:t>
            </w:r>
          </w:p>
        </w:tc>
        <w:tc>
          <w:tcPr>
            <w:tcW w:type="dxa" w:w="3456"/>
          </w:tcPr>
          <w:p>
            <w:r>
              <w:t>Peer composite, private credit cohort without CION Ares Diversified Credit Fund</w:t>
            </w:r>
          </w:p>
        </w:tc>
        <w:tc>
          <w:tcPr>
            <w:tcW w:type="dxa" w:w="864"/>
          </w:tcPr>
          <w:p>
            <w:r>
              <w:t>not scored</w:t>
            </w:r>
          </w:p>
        </w:tc>
        <w:tc>
          <w:tcPr>
            <w:tcW w:type="dxa" w:w="3888"/>
          </w:tcPr>
          <w:p>
            <w:r>
              <w:t>relative wealth ratio 0.9503, annualized excess return -1.01%/yr (not a public market equivalent), 2021 to 2025 (n=4)</w:t>
            </w:r>
          </w:p>
        </w:tc>
      </w:tr>
      <w:tr>
        <w:tc>
          <w:tcPr>
            <w:tcW w:type="dxa" w:w="1152"/>
          </w:tcPr>
          <w:p>
            <w:r>
              <w:t>rejected</w:t>
            </w:r>
          </w:p>
        </w:tc>
        <w:tc>
          <w:tcPr>
            <w:tcW w:type="dxa" w:w="3456"/>
          </w:tcPr>
          <w:p>
            <w:r>
              <w:t>Senior loan investable proxy (BKLN, for Morningstar LSTA class)</w:t>
            </w:r>
          </w:p>
        </w:tc>
        <w:tc>
          <w:tcPr>
            <w:tcW w:type="dxa" w:w="864"/>
          </w:tcPr>
          <w:p>
            <w:r>
              <w:t>8/12</w:t>
            </w:r>
          </w:p>
        </w:tc>
        <w:tc>
          <w:tcPr>
            <w:tcW w:type="dxa" w:w="3888"/>
          </w:tcPr>
          <w:p>
            <w:r>
              <w:t>tied: tied on score, ordered by strategy_match, then risk_liquidity_match, then data held, then alphabetical (score 8/12, selected CDLI)</w:t>
            </w:r>
          </w:p>
        </w:tc>
      </w:tr>
      <w:tr>
        <w:tc>
          <w:tcPr>
            <w:tcW w:type="dxa" w:w="1152"/>
          </w:tcPr>
          <w:p>
            <w:r>
              <w:t>rejected</w:t>
            </w:r>
          </w:p>
        </w:tc>
        <w:tc>
          <w:tcPr>
            <w:tcW w:type="dxa" w:w="3456"/>
          </w:tcPr>
          <w:p>
            <w:r>
              <w:t>Credit Suisse Leveraged Loan Index (CSLLI)</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Morningstar LSTA US Leveraged Loan Index</w:t>
            </w:r>
          </w:p>
        </w:tc>
        <w:tc>
          <w:tcPr>
            <w:tcW w:type="dxa" w:w="864"/>
          </w:tcPr>
          <w:p>
            <w:r>
              <w:t>6/12</w:t>
            </w:r>
          </w:p>
        </w:tc>
        <w:tc>
          <w:tcPr>
            <w:tcW w:type="dxa" w:w="3888"/>
          </w:tcPr>
          <w:p>
            <w:r>
              <w:t>score 6/12 below the threshold 7/12</w:t>
            </w:r>
          </w:p>
        </w:tc>
      </w:tr>
    </w:tbl>
    <w:p>
      <w:pPr>
        <w:pStyle w:val="Heading1"/>
      </w:pPr>
      <w:r>
        <w:t>Exhibit B. Liquidity match for this plan</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$5.2B</w:t>
            </w:r>
          </w:p>
        </w:tc>
        <w:tc>
          <w:tcPr>
            <w:tcW w:type="dxa" w:w="1152"/>
          </w:tcPr>
          <w:p>
            <w:r>
              <w:t>3.6</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$1.0B per year (20% of approx. $5.2B net assets, cell 3.6). The plan's demand at the filed rate is $3.3M per year, 0.32% of that capacity, a claim shared with every other holder.</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Fund capacity in dollars: 20% of approx. $5.2B net assets (cell 3.6) is $1.0B per year. At a 5% allocation ($28.3M) the plan's demand at the filed rate is $3.3M per year, 0.32%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managed assets (leverage-inclusive)</w:t>
            </w:r>
          </w:p>
        </w:tc>
        <w:tc>
          <w:tcPr>
            <w:tcW w:type="dxa" w:w="2880"/>
          </w:tcPr>
          <w:p>
            <w:r>
              <w:t>extracted-unverified</w:t>
            </w:r>
          </w:p>
        </w:tc>
      </w:tr>
      <w:tr>
        <w:tc>
          <w:tcPr>
            <w:tcW w:type="dxa" w:w="2880"/>
          </w:tcPr>
          <w:p>
            <w:r>
              <w:t>2.2 Incentive fee terms</w:t>
            </w:r>
          </w:p>
        </w:tc>
        <w:tc>
          <w:tcPr>
            <w:tcW w:type="dxa" w:w="3600"/>
          </w:tcPr>
          <w:p>
            <w:r>
              <w:t>incentive fee: 15% / 6% hurdle</w:t>
            </w:r>
          </w:p>
        </w:tc>
        <w:tc>
          <w:tcPr>
            <w:tcW w:type="dxa" w:w="2880"/>
          </w:tcPr>
          <w:p>
            <w:r>
              <w:t>extracted-unverified</w:t>
            </w:r>
          </w:p>
        </w:tc>
      </w:tr>
      <w:tr>
        <w:tc>
          <w:tcPr>
            <w:tcW w:type="dxa" w:w="2880"/>
          </w:tcPr>
          <w:p>
            <w:r>
              <w:t>2.3 Total expense ratio &amp; waivers</w:t>
            </w:r>
          </w:p>
        </w:tc>
        <w:tc>
          <w:tcPr>
            <w:tcW w:type="dxa" w:w="3600"/>
          </w:tcPr>
          <w:p>
            <w:r>
              <w:t>3.76% expense ratio, excluding interest expense (6.90% including interest per the fee table), no contractual cap (FY2025, Class I)</w:t>
            </w:r>
          </w:p>
        </w:tc>
        <w:tc>
          <w:tcPr>
            <w:tcW w:type="dxa" w:w="2880"/>
          </w:tcPr>
          <w:p>
            <w:r>
              <w:t>extracted-unverified</w:t>
            </w:r>
          </w:p>
        </w:tc>
      </w:tr>
      <w:tr>
        <w:tc>
          <w:tcPr>
            <w:tcW w:type="dxa" w:w="2880"/>
          </w:tcPr>
          <w:p>
            <w:r>
              <w:t>2.4 AFFE</w:t>
            </w:r>
          </w:p>
        </w:tc>
        <w:tc>
          <w:tcPr>
            <w:tcW w:type="dxa" w:w="3600"/>
          </w:tcPr>
          <w:p>
            <w:r>
              <w:t>not applicable, the record states why</w:t>
            </w:r>
          </w:p>
        </w:tc>
        <w:tc>
          <w:tcPr>
            <w:tcW w:type="dxa" w:w="2880"/>
          </w:tcPr>
          <w:p>
            <w:r>
              <w:t>n/a - documented-unavailable</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Diversified credit in the cclfx/pflex wrapper (interval, quarterly 5%). Joins via the census promotion pipeline. The dual-adviser CION+Ares structure and a leverage-inclusive Managed Assets fee base (1.89% of net assets at FY2025 leverage) widen the cohort's fee-base axis. Daily Class I NAV (CADUX).</w:t>
      </w:r>
    </w:p>
    <w:p>
      <w:r>
        <w:t>Cohort placement (private credit cohort): mgmt fee: 50th percentile of cohort (n=5), at the median of 1.25 | expense ratio (bases differ, see notes): 50th percentile of cohort (n=5), at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1, extracted-unverified 22, verified 0, computed 12, partial 11, fetched 0, n/a 9,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