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Cliffwater Corporate Lending Fund (TRUE interval fund (Rule 23c-3), private credit, CIK 1735964)</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CONDITIONAL-WEAK.</w:t>
      </w:r>
    </w:p>
    <w:p>
      <w:r>
        <w:t>Meaningful benchmark (paragraph (k)): Senior loan investable proxy (BKLN, for Morningstar LSTA class) at 8/12, KS-PME 1.2532, Direct Alpha 3.22%/yr over 2019-06-05 to 2026-07-17.</w:t>
      </w:r>
    </w:p>
    <w:p>
      <w:r>
        <w:t>Peer comparison (paragraphs (g) and (h)): relative wealth ratio 1.0613, annualized excess return 1.2%/yr (not a public market equivalent) vs the peer composite over 2021 to 2025 (n=4), not a benchmark.</w:t>
      </w:r>
    </w:p>
    <w:p>
      <w:r>
        <w:t>Flags raised by the record (each restates a typed value or verdict, with its source):</w:t>
      </w:r>
    </w:p>
    <w:p>
      <w:pPr>
        <w:pStyle w:val="ListBullet"/>
      </w:pPr>
      <w:r>
        <w:t>Liquidity: structural verdict partial, facts missing: gate_history (cells 3.1, 3.3)</w:t>
      </w:r>
    </w:p>
    <w:p>
      <w:pPr>
        <w:pStyle w:val="ListBullet"/>
      </w:pPr>
      <w:r>
        <w:t>Liquidity: ILLUSTRATIVE scenario verdict conditional-weak under this plan (the filed outflow proxy or the stressed demand above wrapper capacity)</w:t>
      </w:r>
    </w:p>
    <w:p>
      <w:r>
        <w:t>Evidence coverage: 45 of 45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Max attainable by an eligible candidate on held data 8/12.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Meaningful benchmark (paragraph (k))</w:t>
            </w:r>
          </w:p>
        </w:tc>
        <w:tc>
          <w:tcPr>
            <w:tcW w:type="dxa" w:w="3456"/>
          </w:tcPr>
          <w:p>
            <w:r>
              <w:t>Senior loan investable proxy (BKLN, for Morningstar LSTA class)</w:t>
            </w:r>
          </w:p>
        </w:tc>
        <w:tc>
          <w:tcPr>
            <w:tcW w:type="dxa" w:w="864"/>
          </w:tcPr>
          <w:p>
            <w:r>
              <w:t>8/12</w:t>
            </w:r>
          </w:p>
        </w:tc>
        <w:tc>
          <w:tcPr>
            <w:tcW w:type="dxa" w:w="3888"/>
          </w:tcPr>
          <w:p>
            <w:r>
              <w:t>KS-PME 1.2532, Direct Alpha 3.22%/yr, 2019-06-05 to 2026-07-17</w:t>
            </w:r>
          </w:p>
        </w:tc>
      </w:tr>
      <w:tr>
        <w:tc>
          <w:tcPr>
            <w:tcW w:type="dxa" w:w="1152"/>
          </w:tcPr>
          <w:p>
            <w:r>
              <w:t>SEC-required comparator</w:t>
            </w:r>
          </w:p>
        </w:tc>
        <w:tc>
          <w:tcPr>
            <w:tcW w:type="dxa" w:w="3456"/>
          </w:tcPr>
          <w:p>
            <w:r>
              <w:t>Morningstar LSTA US Leveraged Loan</w:t>
            </w:r>
          </w:p>
        </w:tc>
        <w:tc>
          <w:tcPr>
            <w:tcW w:type="dxa" w:w="864"/>
          </w:tcPr>
          <w:p>
            <w:r/>
          </w:p>
        </w:tc>
        <w:tc>
          <w:tcPr>
            <w:tcW w:type="dxa" w:w="3888"/>
          </w:tcPr>
          <w:p>
            <w:r>
              <w:t>cited, not held, scored 6/12, below the threshold</w:t>
            </w:r>
          </w:p>
        </w:tc>
      </w:tr>
      <w:tr>
        <w:tc>
          <w:tcPr>
            <w:tcW w:type="dxa" w:w="1152"/>
          </w:tcPr>
          <w:p>
            <w:r>
              <w:t>SEC-required comparator</w:t>
            </w:r>
          </w:p>
        </w:tc>
        <w:tc>
          <w:tcPr>
            <w:tcW w:type="dxa" w:w="3456"/>
          </w:tcPr>
          <w:p>
            <w:r>
              <w:t>Bloomberg US Aggregate</w:t>
            </w:r>
          </w:p>
        </w:tc>
        <w:tc>
          <w:tcPr>
            <w:tcW w:type="dxa" w:w="864"/>
          </w:tcPr>
          <w:p>
            <w:r/>
          </w:p>
        </w:tc>
        <w:tc>
          <w:tcPr>
            <w:tcW w:type="dxa" w:w="3888"/>
          </w:tcPr>
          <w:p>
            <w:r>
              <w:t>cited, not held, scored 6/12, below the threshold</w:t>
            </w:r>
          </w:p>
        </w:tc>
      </w:tr>
      <w:tr>
        <w:tc>
          <w:tcPr>
            <w:tcW w:type="dxa" w:w="1152"/>
          </w:tcPr>
          <w:p>
            <w:r>
              <w:t>Peer comparison (paragraphs (g) and (h))</w:t>
            </w:r>
          </w:p>
        </w:tc>
        <w:tc>
          <w:tcPr>
            <w:tcW w:type="dxa" w:w="3456"/>
          </w:tcPr>
          <w:p>
            <w:r>
              <w:t>Peer composite, private credit cohort without Cliffwater Corporate Lending Fund</w:t>
            </w:r>
          </w:p>
        </w:tc>
        <w:tc>
          <w:tcPr>
            <w:tcW w:type="dxa" w:w="864"/>
          </w:tcPr>
          <w:p>
            <w:r>
              <w:t>not scored</w:t>
            </w:r>
          </w:p>
        </w:tc>
        <w:tc>
          <w:tcPr>
            <w:tcW w:type="dxa" w:w="3888"/>
          </w:tcPr>
          <w:p>
            <w:r>
              <w:t>relative wealth ratio 1.0613, annualized excess return 1.2%/yr (not a public market equivalent), 2021 to 2025 (n=4)</w:t>
            </w:r>
          </w:p>
        </w:tc>
      </w:tr>
      <w:tr>
        <w:tc>
          <w:tcPr>
            <w:tcW w:type="dxa" w:w="1152"/>
          </w:tcPr>
          <w:p>
            <w:r>
              <w:t>rejected</w:t>
            </w:r>
          </w:p>
        </w:tc>
        <w:tc>
          <w:tcPr>
            <w:tcW w:type="dxa" w:w="3456"/>
          </w:tcPr>
          <w:p>
            <w:r>
              <w:t>Cliffwater Direct Lending Index (CDLI)</w:t>
            </w:r>
          </w:p>
        </w:tc>
        <w:tc>
          <w:tcPr>
            <w:tcW w:type="dxa" w:w="864"/>
          </w:tcPr>
          <w:p>
            <w:r>
              <w:t>7/12</w:t>
            </w:r>
          </w:p>
        </w:tc>
        <w:tc>
          <w:tcPr>
            <w:tcW w:type="dxa" w:w="3888"/>
          </w:tcPr>
          <w:p>
            <w:r>
              <w:t>rejected: affiliated provider (score 7/12), an index published by the fund's own adviser is ineligible for the meaningful-benchmark slot</w:t>
            </w:r>
          </w:p>
        </w:tc>
      </w:tr>
      <w:tr>
        <w:tc>
          <w:tcPr>
            <w:tcW w:type="dxa" w:w="1152"/>
          </w:tcPr>
          <w:p>
            <w:r>
              <w:t>rejected</w:t>
            </w:r>
          </w:p>
        </w:tc>
        <w:tc>
          <w:tcPr>
            <w:tcW w:type="dxa" w:w="3456"/>
          </w:tcPr>
          <w:p>
            <w:r>
              <w:t>Bloomberg US Aggregate Bond Index</w:t>
            </w:r>
          </w:p>
        </w:tc>
        <w:tc>
          <w:tcPr>
            <w:tcW w:type="dxa" w:w="864"/>
          </w:tcPr>
          <w:p>
            <w:r>
              <w:t>6/12</w:t>
            </w:r>
          </w:p>
        </w:tc>
        <w:tc>
          <w:tcPr>
            <w:tcW w:type="dxa" w:w="3888"/>
          </w:tcPr>
          <w:p>
            <w:r>
              <w:t>score 6/12 below the threshold 7/12</w:t>
            </w:r>
          </w:p>
        </w:tc>
      </w:tr>
      <w:tr>
        <w:tc>
          <w:tcPr>
            <w:tcW w:type="dxa" w:w="1152"/>
          </w:tcPr>
          <w:p>
            <w:r>
              <w:t>rejected</w:t>
            </w:r>
          </w:p>
        </w:tc>
        <w:tc>
          <w:tcPr>
            <w:tcW w:type="dxa" w:w="3456"/>
          </w:tcPr>
          <w:p>
            <w:r>
              <w:t>Credit Suisse Leveraged Loan Index (CSLLI)</w:t>
            </w:r>
          </w:p>
        </w:tc>
        <w:tc>
          <w:tcPr>
            <w:tcW w:type="dxa" w:w="864"/>
          </w:tcPr>
          <w:p>
            <w:r>
              <w:t>6/12</w:t>
            </w:r>
          </w:p>
        </w:tc>
        <w:tc>
          <w:tcPr>
            <w:tcW w:type="dxa" w:w="3888"/>
          </w:tcPr>
          <w:p>
            <w:r>
              <w:t>score 6/12 below the threshold 7/12</w:t>
            </w:r>
          </w:p>
        </w:tc>
      </w:tr>
      <w:tr>
        <w:tc>
          <w:tcPr>
            <w:tcW w:type="dxa" w:w="1152"/>
          </w:tcPr>
          <w:p>
            <w:r>
              <w:t>rejected</w:t>
            </w:r>
          </w:p>
        </w:tc>
        <w:tc>
          <w:tcPr>
            <w:tcW w:type="dxa" w:w="3456"/>
          </w:tcPr>
          <w:p>
            <w:r>
              <w:t>Morningstar LSTA US Leveraged Loan Index</w:t>
            </w:r>
          </w:p>
        </w:tc>
        <w:tc>
          <w:tcPr>
            <w:tcW w:type="dxa" w:w="864"/>
          </w:tcPr>
          <w:p>
            <w:r>
              <w:t>6/12</w:t>
            </w:r>
          </w:p>
        </w:tc>
        <w:tc>
          <w:tcPr>
            <w:tcW w:type="dxa" w:w="3888"/>
          </w:tcPr>
          <w:p>
            <w:r>
              <w:t>score 6/12 below the threshold 7/12</w:t>
            </w:r>
          </w:p>
        </w:tc>
      </w:tr>
    </w:tbl>
    <w:p>
      <w:pPr>
        <w:pStyle w:val="Heading1"/>
      </w:pPr>
      <w:r>
        <w:t>Exhibit B. Liquidity match for this plan</w:t>
      </w:r>
    </w:p>
    <w:p>
      <w:r>
        <w:t>Plan: US media/technology company 401(k) plan (~$570M, New York).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(N-23C3A filings are offer NOTIFICATIONS, not results. Per-offer proration outcomes not yet evidenced).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N-23C3A filings are offer NOTIFICATIONS, not results. Per-offer proration outcomes not yet evidenced</w:t>
            </w:r>
          </w:p>
        </w:tc>
        <w:tc>
          <w:tcPr>
            <w:tcW w:type="dxa" w:w="1152"/>
          </w:tcPr>
          <w:p>
            <w:r>
              <w:t>3.3</w:t>
            </w:r>
          </w:p>
        </w:tc>
      </w:tr>
      <w:tr>
        <w:tc>
          <w:tcPr>
            <w:tcW w:type="dxa" w:w="2448"/>
          </w:tcPr>
          <w:p>
            <w:r>
              <w:t>Repurchase program status</w:t>
            </w:r>
          </w:p>
        </w:tc>
        <w:tc>
          <w:tcPr>
            <w:tcW w:type="dxa" w:w="5760"/>
          </w:tcPr>
          <w:p>
            <w:r>
              <w:t>not typed: no suspension language in 3.1 or 3.3 as of 2026-03-31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r>
        <w:tc>
          <w:tcPr>
            <w:tcW w:type="dxa" w:w="2448"/>
          </w:tcPr>
          <w:p>
            <w:r>
              <w:t>Fund net assets (for the dollar capacity)</w:t>
            </w:r>
          </w:p>
        </w:tc>
        <w:tc>
          <w:tcPr>
            <w:tcW w:type="dxa" w:w="5760"/>
          </w:tcPr>
          <w:p>
            <w:r>
              <w:t>not typed: net assets ~$31.26B printed, but the carrying cells (1.1/3.6) are partial - verification unlocks this fact</w:t>
            </w:r>
          </w:p>
        </w:tc>
        <w:tc>
          <w:tcPr>
            <w:tcW w:type="dxa" w:w="1152"/>
          </w:tcPr>
          <w:p>
            <w:r>
              <w:t>3.4</w:t>
            </w:r>
          </w:p>
        </w:tc>
      </w:tr>
    </w:tbl>
    <w:p>
      <w:pPr>
        <w:pStyle w:val="Heading2"/>
      </w:pPr>
      <w:r>
        <w:t>Scenario (ILLUSTRATIVE, this plan)</w:t>
      </w:r>
    </w:p>
    <w:p>
      <w:r>
        <w:t>Plan inputs (Form 5500): net assets $565.8M, liquidity tail 36.1% of accounts (1,847 separated participants with balances), filed outflow proxy 11.7%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$28.3M): $3.3M/yr = 11.7% of the position per year vs annual wrapper capacity 20%.</w:t>
      </w:r>
    </w:p>
    <w:p>
      <w:r>
        <w:t>Slider assumption (adjustable on the site, not a fact): tail turnover 20%/yr, active turnover 5%/yr, 10.4% of the position per year = $2.9M/yr, shown beside the filed rate, not blended with it.</w:t>
      </w:r>
    </w:p>
    <w:p>
      <w:r>
        <w:t>Stressed (the filed outflow proxy plus the increment the sliders add under stress (tail turnover x2, active turnover x1.5 over the slider assumption)): demand $5.8M/yr = 20.5% of the position. EXCEEDS annual wrapper capacity (20.5% vs 20%). Unmet demand rolls into later windows (gating-equivalent outcome).</w:t>
      </w:r>
    </w:p>
    <w:p>
      <w:r>
        <w:t>Fund capacity in dollars: not computable, the fund's net assets are not typed in the record (net assets ~$31.26B printed, but the carrying cells (1.1/3.6) are partial - verification unlocks this fact), so the plan's dollar demand cannot be set against the fund's dollar capacity and the allocation slider is not shown.</w:t>
      </w:r>
    </w:p>
    <w:p>
      <w:r>
        <w:t>Scenario verdict (ILLUSTRATIVE, this plan): CONDITIONAL-WEAK.</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Filed outflow proxy (Schedule H, plan year 2024-01-01 to 2024-12-31): 11.7% of the position per year vs 20% annual wrapper capacity, the plan's total expenses less administrative expenses over beginning net assets, applied to the position. Adequate headroom at the filed rate if offers are not prorated.</w:t>
      </w:r>
    </w:p>
    <w:p>
      <w:pPr>
        <w:pStyle w:val="ListBullet"/>
      </w:pPr>
      <w:r>
        <w:t>Slider assumption (illustrative): 10.4% of the position per year vs 20% annual wrapper capacity, from tail turnover 20%/yr on the 36.1% of accounts that are separated and active turnover 5%/yr on the rest. Shown beside the filed rate, not blended with it. Within 60% of wrapper capacity at these sliders.</w:t>
      </w:r>
    </w:p>
    <w:p>
      <w:pPr>
        <w:pStyle w:val="ListBullet"/>
      </w:pPr>
      <w:r>
        <w:t>Scenario verdict (ILLUSTRATIVE, this plan): conditional-weak.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1.00% on net assets</w:t>
            </w:r>
          </w:p>
        </w:tc>
        <w:tc>
          <w:tcPr>
            <w:tcW w:type="dxa" w:w="2880"/>
          </w:tcPr>
          <w:p>
            <w:r>
              <w:t>extracted-unverified</w:t>
            </w:r>
          </w:p>
        </w:tc>
      </w:tr>
      <w:tr>
        <w:tc>
          <w:tcPr>
            <w:tcW w:type="dxa" w:w="2880"/>
          </w:tcPr>
          <w:p>
            <w:r>
              <w:t>2.2 Incentive fee terms</w:t>
            </w:r>
          </w:p>
        </w:tc>
        <w:tc>
          <w:tcPr>
            <w:tcW w:type="dxa" w:w="3600"/>
          </w:tcPr>
          <w:p>
            <w:r>
              <w:t>no typed fact for this cell</w:t>
            </w:r>
          </w:p>
        </w:tc>
        <w:tc>
          <w:tcPr>
            <w:tcW w:type="dxa" w:w="2880"/>
          </w:tcPr>
          <w:p>
            <w:r>
              <w:t>partial</w:t>
            </w:r>
          </w:p>
        </w:tc>
      </w:tr>
      <w:tr>
        <w:tc>
          <w:tcPr>
            <w:tcW w:type="dxa" w:w="2880"/>
          </w:tcPr>
          <w:p>
            <w:r>
              <w:t>2.3 Total expense ratio &amp; waivers</w:t>
            </w:r>
          </w:p>
        </w:tc>
        <w:tc>
          <w:tcPr>
            <w:tcW w:type="dxa" w:w="3600"/>
          </w:tcPr>
          <w:p>
            <w:r>
              <w:t>1.36% expense ratio, before waivers, excluding interest expense (3.31% including interest, FY2026)</w:t>
            </w:r>
          </w:p>
        </w:tc>
        <w:tc>
          <w:tcPr>
            <w:tcW w:type="dxa" w:w="2880"/>
          </w:tcPr>
          <w:p>
            <w:r>
              <w:t>extracted-unverified</w:t>
            </w:r>
          </w:p>
        </w:tc>
      </w:tr>
      <w:tr>
        <w:tc>
          <w:tcPr>
            <w:tcW w:type="dxa" w:w="2880"/>
          </w:tcPr>
          <w:p>
            <w:r>
              <w:t>2.4 AFFE</w:t>
            </w:r>
          </w:p>
        </w:tc>
        <w:tc>
          <w:tcPr>
            <w:tcW w:type="dxa" w:w="3600"/>
          </w:tcPr>
          <w:p>
            <w:r>
              <w:t>AFFE 0.25%</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Private credit (interval fund + non-traded BDC) (n=5). Direct corporate lending in a Rule 23c-3 interval wrapper, the cohort's reference member. Daily NAV, quarterly obligated liquidity.</w:t>
      </w:r>
    </w:p>
    <w:p>
      <w:r>
        <w:t>Cohort placement (private credit cohort): mgmt fee: 10th percentile of cohort (n=5), below the median of 1.25 | expense ratio (bases differ, see notes): 10th percentile of cohort (n=5), below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23, verified 0, computed 13, partial 7, fetched 2,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