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media/technology company 401(k) plan (~$570M, New York)</w:t>
        <w:br/>
      </w:r>
      <w:r>
        <w:t>Product: Cliffwater Corporate Lending Fund (TRUE interval fund (Rule 23c-3), private credit, CIK 1735964)</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in this build. The rule paragraph under each letter follows verbatim and the full text of paragraphs (g) to (l), examples included, is the appendix at the end of this memo. Cells 6.6 and 6.8 are advisor-completed under paragraph (l).</w:t>
      </w:r>
    </w:p>
    <w:p>
      <w:pPr>
        <w:pStyle w:val="IntenseQuote"/>
      </w:pPr>
      <w:r>
        <w:t>(g) Performance. The plan fiduciary must appropriately consider a reasonable number of similar alternatives and determine that the risk-adjusted expected returns, over an appropriate time-horizon, of the designated investment alternative, net of anticipated fees and expenses, further the purposes of the plan by enabling participants and beneficiaries to maximize risk-adjusted returns on investment net of fees and expenses.</w:t>
      </w:r>
    </w:p>
    <w:p>
      <w:pPr>
        <w:pStyle w:val="IntenseQuote"/>
      </w:pPr>
      <w:r>
        <w:t>(h) Fees. The plan fiduciary must consider a reasonable number of similar alternatives and determine that the fees and expenses of the designated investment alternative are appropriate, taking into account its risk-adjusted expected returns and any other value the designated investment alternative brings to furthering the purposes of the plan. For this purpose, the term “value” includes any benefits, features, or services other than risk-adjusted returns. Section 404(a)(1)(B) of ERISA and paragraph (h) of this section are not violated solely because the fiduciary does not select the alternative with the lowest fees and expenses from among the alternatives considered. For example, a prudent plan fiduciary could choose to pay more in exchange for greater services.</w:t>
      </w:r>
    </w:p>
    <w:p>
      <w:pPr>
        <w:pStyle w:val="IntenseQuote"/>
      </w:pPr>
      <w:r>
        <w:t>(i) Liquidity. The fiduciary must appropriately consider and determine that the designated investment alternative will have sufficient liquidity to meet the anticipated needs of the plan at both the plan and individual levels. For example, because participant-directed individual account plans are long-term retirement savings vehicles, particularly for participants early in their careers, there is no requirement that a fiduciary select only fully liquid products. Indeed, a prudent fiduciary process may regularly lead to a decision to sacrifice some plan- or individual-level liquidity, or both, in pursuit of additional risk-adjusted return.</w:t>
      </w:r>
    </w:p>
    <w:p>
      <w:pPr>
        <w:pStyle w:val="IntenseQuote"/>
      </w:pPr>
      <w:r>
        <w:t>(j) Valuation. The fiduciary must appropriately consider and determine that the designated investment alternative has adopted adequate measures to ensure that the designated investment alternative is capable of being timely and accurately valued in accordance with the needs of the plan.</w:t>
      </w:r>
    </w:p>
    <w:p>
      <w:pPr>
        <w:pStyle w:val="IntenseQuote"/>
      </w:pPr>
      <w:r>
        <w:t>(k) Performance benchmark. The plan fiduciary must appropriately consider and determine that each designated investment alternative has a meaningful benchmark, and compare the risk-adjusted expected returns of the designated investment alternative to the meaningful benchmark. There may be more than one meaningful benchmark for a designated investment alternative, however no single benchmark is a meaningful benchmark for all designated investment alternatives on a plan investment menu. A “meaningful benchmark” is an investment, strategy, index, or other comparator that has similar mandates, strategies, objectives, and risks to the designated investment alternative. The “risk-adjusted expected returns” of the designated investment alternative may be determined based on its historical performance unless it has none, in which case it may be determined based on the historical performance of a different investment with similar mandates, strategies, objectives, and risks and that is not the meaningful benchmark. While a plan fiduciary should identify benchmarks that are as meaningful as possible, there is no presumption or preference against new or innovative designated investment alternative designs. Instead, when considering a new or innovative product design, a fiduciary should seek to identify the best possible comparators to it while also scrutinizing the potential value proposition presented by the new or innovative design.</w:t>
      </w:r>
    </w:p>
    <w:p>
      <w:pPr>
        <w:pStyle w:val="IntenseQuote"/>
      </w:pPr>
      <w:r>
        <w:t>(l) Complexity. The plan fiduciary must appropriately consider the complexity of the designated investment alternative and determine that it has the skills, knowledge, experience, and capacity to comprehend it sufficiently to discharge its obligations under ERISA and the governing plan documents or whether it must seek assistance from a qualified investment advice fiduciary, investment manager, or other individual.</w:t>
      </w:r>
    </w:p>
    <w:p>
      <w:r>
        <w:t>Source: Federal Register document 2026-06178, fetched 2026-09-07T06:19:25+00:00, content hash aef7a94680824e55. Nothing in the quoted text is Tark's.</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1.2 inception: 2019-06-05. 1.8 KS-PME 1.25 vs BKLN. 1.12 peer relative wealth ratio 1.06, not a benchmark.</w:t>
            </w:r>
          </w:p>
          <w:p>
            <w:r>
              <w:t>1.1 Net total return series (partial): PARTIAL: NAV/share FY21-FY26: 10.60 / 10.79 / 10.67 / 10.55 / 10.83 / 10.52.</w:t>
            </w:r>
          </w:p>
          <w:p>
            <w:r>
              <w:t>1.2 Trailing &amp; calendar-year returns (extracted-unverified): AATR as of 3/31/2026: 1yr 7.63% / 3yr 10.89% / 5yr 9.79% / SI 9.34% (inception 6/5/2019) vs Morningstar LSTA US Leveraged Loan Index 4.81 / 8.00 / 5.93 / 5.51.</w:t>
            </w:r>
          </w:p>
          <w:p>
            <w:r>
              <w:t>1.3 Gross vs net spread (extracted-unverified): Gross and net are IDENTICAL in recent years - no active waiver.</w:t>
            </w:r>
          </w:p>
          <w:p>
            <w:r>
              <w:t>1.4 Distribution history &amp; composition (extracted-unverified): Class I per-share distributions (Consolidated Financial Highlights): FY ended 3/31/2026 total $(1.09), all from net investment income (return of capital — ; net realized gain — ); FY2025 $(0.90) all NII; FY2024 $(1.45) = $(1.41) NII + $(0.04) ROC; FY2023 $(0.84) = $(0.69) NII + $(0.15) ROC; stub period 1/1/2022–3/31/2022 none; CY2021 $(0.74) = $(0.62) NII + $(0.10) ROC + $(0.02) net realized gain.</w:t>
            </w:r>
          </w:p>
          <w:p>
            <w:r>
              <w:t>1.6 Volatility &amp; max drawdown (computed): Computed from the held daily series CCLFX (Yahoo adjusted close, approximates NAV total return with distributions reinvested), 2019-06-05 to 2026-07-17: annualized volatility 2.07% on 85 monthly returns, max drawdown -3.91% on the daily series (peak 2020-02-14 to trough 2020-03-25).</w:t>
            </w:r>
          </w:p>
          <w:p>
            <w:r>
              <w:t>1.7 De-smoothed volatility (computed): De-smoothed (Geltner AR1) annualized volatility 2.39% vs 2.07% observed (lag-1 autocorrelation rho 0.139, n=85 monthly returns of the held daily series CCLFX, Yahoo adjusted close, approximates NAV total return with distributions reinvested).</w:t>
            </w:r>
          </w:p>
          <w:p>
            <w:r>
              <w:t>1.8 Risk-adjusted metrics (PME etc) (computed): Meaningful benchmark (paragraph (k)), Senior loan investable proxy (BKLN, for Morningstar LSTA class): KS-PME 1.2532 and Direct Alpha +3.22%/yr over 2019-06-05 to 2026-07-17 (series comparison), fund growth 1.7165x vs proxy growth 1.3697x on two-point flows (one contribution at the window start, one valuation at the end), fund return source: Yahoo adjusted close, approximates NAV total return.</w:t>
            </w:r>
          </w:p>
          <w:p>
            <w:r>
              <w:t>1.9 Stress-window performance (computed): Computed stress-window performance from the held daily series (adjusted close, distributions reinvested).</w:t>
            </w:r>
          </w:p>
          <w:p>
            <w:r>
              <w:t>1.11 Track record &amp; manager tenure (extracted-unverified): Named Portfolio Managers (prospectus 'PORTFOLIO MANAGERS' section): Stephen L. Nesbitt (CEO &amp; CIO of the Investment Manager; primarily responsible for day-to-day management; 'portfolio manager of the Fund since its inception'; trustee table shows 'Chief Executive Officer and Chief Investment Officer, Cliffwater LLC (2004 – Present)'); Caitlin Nemeth, Portfolio Manager (joined the Investment Manager in 2021; previously over a decade at Antares Capital/GE Capital); Frances Beyers, Portfolio Manager (head of capital markets group; previously Refinitiv, Churchill Asset Management, JPMorgan); Samir Patel, Portfolio Manager (joined the Investment Manager in 2022; previously Antares Capital/GE Capital, RSM, Deloitte).</w:t>
            </w:r>
          </w:p>
          <w:p>
            <w:r>
              <w:t>1.12 Peer comparison (paragraphs (g) and (h)) (computed): Peer comparison (paragraphs (g) and (h)): private credit cohort, peers Blackstone Private Credit Fund, PIMCO Flexible Credit Income Fund, CION Ares Diversified Credit Fund, Blue Owl Credit Income Corp., fund return basis Yahoo adjusted close, approximates NAV total return (CCLFX).</w:t>
            </w:r>
          </w:p>
          <w:p>
            <w:r>
              <w:t>Not applicable: 1.5 underlying fund/GP-level returns are LP-only reporting; filings disclose holdings at fair value (see 3.4/SOI and N-CSR Note 13), not underlying fund IRRs. 1.10 listed-CEF only.</w:t>
            </w:r>
          </w:p>
        </w:tc>
      </w:tr>
      <w:tr>
        <w:tc>
          <w:tcPr>
            <w:tcW w:type="dxa" w:w="1728"/>
          </w:tcPr>
          <w:p>
            <w:r>
              <w:t>2. Fees (h)</w:t>
            </w:r>
          </w:p>
        </w:tc>
        <w:tc>
          <w:tcPr>
            <w:tcW w:type="dxa" w:w="7632"/>
          </w:tcPr>
          <w:p>
            <w:r>
              <w:t>Typed facts: 2.1 1.00% on net assets. 2.3 1.36% expense ratio, before waivers, excluding interest expense (3.31% including interest, FY2026). 2.4 AFFE 0.25%. 2.7 early repurchase fee: none.</w:t>
            </w:r>
          </w:p>
          <w:p>
            <w:r>
              <w:t>2.1 Management fee (rate AND base) (extracted-unverified): 1.00% annualized on daily NET assets, paid monthly.</w:t>
            </w:r>
          </w:p>
          <w:p>
            <w:r>
              <w:t>2.2 Incentive fee terms (partial): No incentive fee identified in fee note (management fee only).</w:t>
            </w:r>
          </w:p>
          <w:p>
            <w:r>
              <w:t>2.3 Total expense ratio &amp; waivers (extracted-unverified): Expense ratios (before waivers, FY26): 1.36% excluding interest expense; 3.31% including interest expense.</w:t>
            </w:r>
          </w:p>
          <w:p>
            <w:r>
              <w:t>2.4 AFFE (extracted-unverified): Fee table ('FUND FEES AND EXPENSES', Class I Shares, as % of net assets): Management Fees 1.00%; Fees and Interest Payments on Borrowed Funds 1.75%; Acquired Fund Fees and Expenses 0.25%; Other Expenses 0.27%; Total Annual Expenses 3.27%.</w:t>
            </w:r>
          </w:p>
          <w:p>
            <w:r>
              <w:t>2.5 Underlying GP economics (partial): No numeric underlying-fund fee ranges are printed anywhere in the on-disk filings (searched 486BPOS/424B3/N-CSR fee-table footnotes and risk sections for management/incentive ranges - none exist; the AFFE footnote says only that AFFE 'represent estimated amounts that the Fund is currently incurring').</w:t>
            </w:r>
          </w:p>
          <w:p>
            <w:r>
              <w:t>2.6 Loads &amp; servicing fees (extracted-unverified): No sales loads and no distribution/servicing fees.</w:t>
            </w:r>
          </w:p>
          <w:p>
            <w:r>
              <w:t>2.7 Early repurchase fee (extracted-unverified): NO early/repurchase fee is charged.</w:t>
            </w:r>
          </w:p>
          <w:p>
            <w:r>
              <w:t>2.9 Fee peer percentile (computed): Cohort placement (private credit cohort): mgmt fee: 10th percentile of cohort (n=5), below the median of 1.25 | expense ratio (bases differ, see notes): 10th percentile of cohort (n=5), below the median of 3.76 | repurchase cap: 50th percentile of cohort (n=5), at the median of 5.</w:t>
            </w:r>
          </w:p>
          <w:p>
            <w:r>
              <w:t>Not applicable: 2.8 CIT only. 2.10 requires the plan committee's own value-for-fees determination - workflow output, not public product data (inputs live in cells 2.1-2.9).</w:t>
            </w:r>
          </w:p>
        </w:tc>
      </w:tr>
      <w:tr>
        <w:tc>
          <w:tcPr>
            <w:tcW w:type="dxa" w:w="1728"/>
          </w:tcPr>
          <w:p>
            <w:r>
              <w:t>3. Liquidity (i)</w:t>
            </w:r>
          </w:p>
        </w:tc>
        <w:tc>
          <w:tcPr>
            <w:tcW w:type="dxa" w:w="7632"/>
          </w:tcPr>
          <w:p>
            <w:r>
              <w:t>Typed facts: 3.1 quarterly dealing, 5% cap per quarter on outstanding shares. 3.9 structural verdict partial, plan-independent.</w:t>
            </w:r>
          </w:p>
          <w:p>
            <w:r>
              <w:t>3.1 Wrapper liquidity terms (extracted-unverified): Rule 23c-3 periodic repurchase offer: up to five percent (5%) of outstanding shares, quarterly, at NAV (NYSE close on Repurchase Pricing Date).</w:t>
            </w:r>
          </w:p>
          <w:p>
            <w:r>
              <w:t>3.2 Repurchase mechanics (extracted-unverified): Current cycle (N-23C3A filed 2026-05-08): offer period 5/8/2026-5/29/2026; Repurchase Request Deadline 4:00 p.m. ET on 5/29/2026; Repurchase Pricing Date the SAME day, 5/29/2026 (NAV as of NYSE close); payment within seven (7) calendar days of the Pricing Date; reference NAV on 5/5/2026 was $10.39/share; offer size up to 5% of outstanding shares; no repurchase fee (cell 2.7).</w:t>
            </w:r>
          </w:p>
          <w:p>
            <w:r>
              <w:t>3.4 Portfolio liquidity profile (extracted-unverified): As of March 31, 2026 (N-CSR): fair value hierarchy table — Level 3 investments $27,306,832,701 of $39,962,131,663 total investments at fair value, plus $11,508,152,570 measured at NAV as practical expedient; Level 1 $547,782,011 (incl. Short-Term Investments $472,301,989); Level 2 $599,364,381.</w:t>
            </w:r>
          </w:p>
          <w:p>
            <w:r>
              <w:t>3.6 Fund leverage &amp; facilities (partial): Senior secured notes + revolving credit facility; $39.96B of holdings pledged as collateral at 3/31/2026 (vs $31.26B net assets -&gt; roughly $8-9B leverage implied).</w:t>
            </w:r>
          </w:p>
          <w:p>
            <w:r>
              <w:t>3.7 Plan participant liquidity demand (computed, this plan): Plan-side demand profile for this plan (Form 5500, plan year 2024-01-01 to 2024-12-31): 1,847 separated participants with balances = 36.1% of 5,120 accounts (the near-term liquidity tail), 3,281 active, 0 retirees in pay status, filed outflow proxy 11.69% of beginning net assets (Schedule H totals).</w:t>
            </w:r>
          </w:p>
          <w:p>
            <w:r>
              <w:t>3.8 Redemption stress test (computed, this plan): ILLUSTRATIVE redemption stress test for this plan: filed outflow proxy 11.69% of the position, slider assumption 10.4%, stressed demand 20.5% vs 20% annual wrapper capacity, EXCEEDS annual wrapper capacity (20.5% vs 20%). Unmet demand rolls into later windows (gating-equivalent outcome). Source: this plan's liquidity match.</w:t>
            </w:r>
          </w:p>
          <w:p>
            <w:r>
              <w:t>3.9 Product-to-plan liquidity match (computed, this plan): Structural liquidity verdict PARTIAL (typed facts, plan-independent). Scenario verdict under this plan (ILLUSTRATIVE): CONDITIONAL-WEAK. Source: this plan's liquidity match.</w:t>
            </w:r>
          </w:p>
          <w:p>
            <w:r>
              <w:t>Not applicable: 3.5 CIT only.</w:t>
            </w:r>
          </w:p>
        </w:tc>
      </w:tr>
      <w:tr>
        <w:tc>
          <w:tcPr>
            <w:tcW w:type="dxa" w:w="1728"/>
          </w:tcPr>
          <w:p>
            <w:r>
              <w:t>4. Valuation (j)</w:t>
            </w:r>
          </w:p>
        </w:tc>
        <w:tc>
          <w:tcPr>
            <w:tcW w:type="dxa" w:w="7632"/>
          </w:tcPr>
          <w:p>
            <w:r>
              <w:t>Typed facts: 4.5 Cohen &amp; Company, Ltd..</w:t>
            </w:r>
          </w:p>
          <w:p>
            <w:r>
              <w:t>4.1 Valuation policy &amp; NAV frequency (extracted-unverified): NAV frequency: daily — 'The Fund calculates its NAV as of the close of business on each Business Day and at such other times as the Board may determine' ('CALCULATION OF NET ASSET VALUE – GENERAL'); the Administrator calculates the NAV ('the Administrator calculates the Fund's NAV as of the close of business on each Business Day', SUSPENSION OF CALCULATION OF NET ASSET VALUE).</w:t>
            </w:r>
          </w:p>
          <w:p>
            <w:r>
              <w:t>4.2 Fair-value hierarchy (L1/2/3) (extracted-unverified): ASC 820 hierarchy at 3/31/2026 (Note 5), investments at fair value by asset type: Senior Secured Loans L1 $0 / L2 $565,960,752 / L3 $26,075,702,710 = $26,641,663,462; Private Investment Vehicles L3 $575,518,297 + NAV practical expedient $11,508,152,570 = $12,083,670,867; Subordinated Debt L2 $10,092,485 / L3 $390,297,048 = $400,389,533; Preferred Stocks L3 $147,365,279; Common Stocks L1 $75,480,022 / L3 $67,988,738 = $143,468,760; Collateralized Loan Obligations L2 $23,311,144 / L3 $48,618,348 = $71,929,492; Warrants L3 $1,342,281; Short-Term Investments L1 $472,301,989.</w:t>
            </w:r>
          </w:p>
          <w:p>
            <w:r>
              <w:t>4.3 Independent valuation agent (extracted-unverified): No third-party valuation firm is NAMED in any on-disk filing.</w:t>
            </w:r>
          </w:p>
          <w:p>
            <w:r>
              <w:t>4.4 Methodology by asset type (extracted-unverified): Level 3 valuation techniques and unobservable inputs at 3/31/2026 (Note 5 table; range then weighted average): SENIOR SECURED LOANS - $11,966,382,918 income approach, Discount Rate/Discount Margin 2.28%-26.46% (8.18%), with LTM Revenue $14M-$4,307M ($515M), Debt/EBITDA -10.7x-35.8x (5.5x), Interest Coverage -1.3x-22.9x (1.9x); $13,783,714,398 market approach, Recent Transaction Price $53.90-$101.00 ($99.26); $296,197,001 market approach EBITDA Multiple 4.3x-14.4x (9.8x) with Revenue Multiple 0.9x-1.5x; $29,403,238 Post Performance Multiple 0.5x-1.3x (0.8x).</w:t>
            </w:r>
          </w:p>
          <w:p>
            <w:r>
              <w:t>4.5 Auditor &amp; opinion (extracted-unverified): Cohen &amp; Company, Ltd., Cleveland, Ohio - independent registered public accounting firm (PCAOB-registered).</w:t>
            </w:r>
          </w:p>
          <w:p>
            <w:r>
              <w:t>4.6 NAV restatement history (extracted-unverified): None identified: searched 'restat', 'error correction', and 'reprocess' across ccl_ncsr.txt (N-CSR FY2026), ccl_486bpos.txt (486BPOS 2025-07-29), ccl_424b3.txt (424B3 2025-08-12), ccl_n23c3a_20260508.txt (N-23C3A 2026-05-08), and grepped all 12 raw HTML/XML filings on disk for this fund (including the seven other N-23C3A filings and NPORT-P); the only 'restat' hits are 'Amended and Restated' document titles — the Agreement and Declaration of Trust as amended and restated September 15, 2021 (in the N-CSR, 486BPOS, and 424B3) plus, in the 486BPOS Part C exhibit list, the Amended and Restated By-Laws, the Amended and Restated Administration, Fund Accounting and Recordkeeping Agreement, and the Amended and Restated Expense Limitation and Reimbursement Agreement.</w:t>
            </w:r>
          </w:p>
          <w:p>
            <w:r>
              <w:t>4.8 Smoothing diagnostics (partial): SMOOTHING FLAG (fund's own disclosure): annualized std dev 1.71% since inception vs 6.15% for the loan index - textbook appraisal-NAV smoothing signature.</w:t>
            </w:r>
          </w:p>
          <w:p>
            <w:r>
              <w:t>Not applicable: 4.7 no market price exists for a non-listed NAV-transaction wrapper; premium/discount undefined. 4.9 CIT only.</w:t>
            </w:r>
          </w:p>
        </w:tc>
      </w:tr>
      <w:tr>
        <w:tc>
          <w:tcPr>
            <w:tcW w:type="dxa" w:w="1728"/>
          </w:tcPr>
          <w:p>
            <w:r>
              <w:t>5. Performance Benchmarks (k)</w:t>
            </w:r>
          </w:p>
        </w:tc>
        <w:tc>
          <w:tcPr>
            <w:tcW w:type="dxa" w:w="7632"/>
          </w:tcPr>
          <w:p>
            <w:r>
              <w:t>Typed facts: 5.3 BKLN selected, 8/12.</w:t>
            </w:r>
          </w:p>
          <w:p>
            <w:r>
              <w:t>5.1 Self-declared benchmark (extracted-unverified): CORRECTED per crosscheck: the fund EXPRESSLY DECLARES NO designated performance benchmark.</w:t>
            </w:r>
          </w:p>
          <w:p>
            <w:r>
              <w:t>5.3 Alt asset-class indices (computed): Candidates evaluated for the meaningful-benchmark slot, paragraph (k) (Tark benchmark rubric, 12 points, threshold 7 of 12, strategy gate below 2 of 3 ineligible, an index published by the fund's own adviser ineligible).</w:t>
            </w:r>
          </w:p>
          <w:p>
            <w:r>
              <w:t>5.4 Peer universe &amp; returns (computed): Peer cohort: private credit cohort (n=5: Cliffwater Corporate Lending Fund, Blackstone Private Credit Fund, PIMCO Flexible Credit Income Fund, CION Ares Diversified Credit Fund, Blue Owl Credit Income Corp.).</w:t>
            </w:r>
          </w:p>
          <w:p>
            <w:r>
              <w:t>5.5 PME / Direct Alpha inputs (computed): PME inputs (computed, public market series Senior loan investable proxy (BKLN, for Morningstar LSTA class), meaningful benchmark): window 2019-06-05 to 2026-07-17 (series comparison).</w:t>
            </w:r>
          </w:p>
          <w:p>
            <w:r>
              <w:t>5.6 Benchmark suitability memo (computed): Benchmark suitability (Tark benchmark rubric, 12 points).</w:t>
            </w:r>
          </w:p>
          <w:p>
            <w:r>
              <w:t>5.7 Case-law tracker (partial): Anderson v. Intel Corp. Investment Policy Committee, No. 25-498 (U.S.).</w:t>
            </w:r>
          </w:p>
        </w:tc>
      </w:tr>
      <w:tr>
        <w:tc>
          <w:tcPr>
            <w:tcW w:type="dxa" w:w="1728"/>
          </w:tcPr>
          <w:p>
            <w:r>
              <w:t>6. Complexity (l)</w:t>
            </w:r>
          </w:p>
        </w:tc>
        <w:tc>
          <w:tcPr>
            <w:tcW w:type="dxa" w:w="7632"/>
          </w:tcPr>
          <w:p>
            <w:r>
              <w:t>Typed facts: 6.1 interval fund (Rule 23c-3).</w:t>
            </w:r>
          </w:p>
          <w:p>
            <w:r>
              <w:t>6.1 Structure map (extracted-unverified): Legal form: Delaware statutory trust, registered closed-end management investment company operating as an interval fund; diversified; governed by Agreement and Declaration of Trust as most recently amended and restated September 15, 2021; elected RIC treatment.</w:t>
            </w:r>
          </w:p>
          <w:p>
            <w:r>
              <w:t>6.2 Strategy &amp; instrument complexity (extracted-unverified): Objectives: primary — consistent current income; secondary — capital preservation.</w:t>
            </w:r>
          </w:p>
          <w:p>
            <w:r>
              <w:t>6.3 Conflicts &amp; affiliated transactions (extracted-unverified): Conflicts: dedicated 'CONFLICTS OF INTEREST' section — Investment Manager and affiliates advise other vehicles with similar strategies that may compete for opportunities and may co-invest; shareholders deemed to acknowledge/waive certain conflict claims; valuation conflict disclosed ('participation of the investment professionals of the Investment Manager in the Fund's valuation process could result in a conflict of interest as the Investment Management Fee is based on the value of the Fund's assets').</w:t>
            </w:r>
          </w:p>
          <w:p>
            <w:r>
              <w:t>6.4 Tax reporting (1099 vs K-1) (partial): PARTIAL: tax form NOT explicitly named in on-disk filings - searched 486BPOS 2025-07-29, 424B3 2025-08-12 and N-CSR 2026-06-08 for '1099' / 'K-1' / 'Schedule K': zero hits.</w:t>
            </w:r>
          </w:p>
          <w:p>
            <w:r>
              <w:t>6.5 Service-provider web (extracted-unverified): As printed on the prospectus service-provider page (dated July 29, 2025): Investment Manager — Cliffwater LLC, 4640 Admiralty Way, 11th Floor, Marina del Rey, CA; Transfer Agent/Administrator — UMB Fund Services, Inc., 235 West Galena Street, Milwaukee, WI; Custodian Bank — State Street Bank and Trust Company, 1 Iron Street, Boston, MA; Distributor — Foreside Fund Services, LLC, Three Canal Plaza, Suite 100, Portland, ME (also named on cover as principal underwriter on a best-efforts basis); Independent Registered Public Accounting Firm — Cohen &amp; Company, Ltd., 1350 Euclid Avenue, Suite 800, Cleveland, OH; Fund Counsel — Faegre Drinker Biddle &amp; Reath LLP, One Logan Square, Suite 2000, Philadelphia, PA.</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r>
        <w:t>Return basis for every comparison in this section: Yahoo adjusted close, approximates NAV total return (CCLFX).</w:t>
      </w:r>
    </w:p>
    <w:p>
      <w:pPr>
        <w:pStyle w:val="Heading2"/>
      </w:pPr>
      <w:r>
        <w:t>Meaningful benchmark (paragraph (k)): Senior loan investable proxy (BKLN, for Morningstar LSTA class) (score 8/12)</w:t>
      </w:r>
    </w:p>
    <w:p>
      <w:r>
        <w:t>Window 2019-06-05 to 2026-07-17: fund 7.89%/yr (Yahoo adjusted close, approximates NAV total return) vs the benchmark 4.52%/yr, KS-PME 1.2532, Direct Alpha 3.22%/yr.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 ILLUSTRATIVE monthly-schedule KS-PME 1.1224 (86 equal contributions at the window start and each month-end inside it, valued at the window end). The two-point figure is primary.</w:t>
      </w:r>
    </w:p>
    <w:p>
      <w:pPr>
        <w:pStyle w:val="ListBullet"/>
      </w:pPr>
      <w:r>
        <w:t>strategy_match 2/3: the public-market version of the asset class (syndicated loans for direct lending)</w:t>
      </w:r>
    </w:p>
    <w:p>
      <w:pPr>
        <w:pStyle w:val="ListBullet"/>
      </w:pPr>
      <w:r>
        <w:t>risk_liquidity_match 1/3: daily-liquid market series against a semi-liquid NAV fund (quarterly dealing at NAV under 5% cap per quarter): volatility and liquidity regimes differ, the PME construct exists for exactly this comparison</w:t>
      </w:r>
    </w:p>
    <w:p>
      <w:pPr>
        <w:pStyle w:val="ListBullet"/>
      </w:pPr>
      <w:r>
        <w:t>provider_independence 2/2: provider unaffiliated with the fund (Invesco / Morningstar LSTA class): the registry affiliation map ties it to none of the fund's advisers</w:t>
      </w:r>
    </w:p>
    <w:p>
      <w:pPr>
        <w:pStyle w:val="ListBullet"/>
      </w:pPr>
      <w:r>
        <w:t>data_held 2/2: daily public market series held (exchange-traded proxy, Yahoo adjusted close)</w:t>
      </w:r>
    </w:p>
    <w:p>
      <w:pPr>
        <w:pStyle w:val="ListBullet"/>
      </w:pPr>
      <w:r>
        <w:t>pricing_basis_match 1/2: a market-priced series standing in for an appraisal-based fund: comparable only through a PME, which is window-sensitive on appraisal-lagged NAVs</w:t>
      </w:r>
    </w:p>
    <w:p>
      <w:pPr>
        <w:pStyle w:val="Heading2"/>
      </w:pPr>
      <w:r>
        <w:t>Declared benchmark and SEC-required comparators (cell 5.1)</w:t>
      </w:r>
    </w:p>
    <w:p>
      <w:r>
        <w:t>SEC-required comparator: Morningstar LSTA US Leveraged Loan, cited, not held, scored 6/12, below the threshold. The declaration itself earns no points.</w:t>
      </w:r>
    </w:p>
    <w:p>
      <w:r>
        <w:t>No comparison: cited, series not in the record: no comparison computed.</w:t>
      </w:r>
    </w:p>
    <w:p>
      <w:r>
        <w:t>SEC-required comparator: Bloomberg US Aggregate, cited, not held, scored 6/12, below the threshold. The declaration itself earns no points.</w:t>
      </w:r>
    </w:p>
    <w:p>
      <w:r>
        <w:t>No comparison: cited, series not in the record: no comparison computed.</w:t>
      </w:r>
    </w:p>
    <w:p>
      <w:r>
        <w:t>Declared benchmark: none. cell 5.1: the fund expressly declares no designated performance benchmark.</w:t>
      </w:r>
    </w:p>
    <w:p>
      <w:pPr>
        <w:pStyle w:val="Heading2"/>
      </w:pPr>
      <w:r>
        <w:t>Peer comparison (paragraphs (g) and (h)): private credit cohort</w:t>
      </w:r>
    </w:p>
    <w:p>
      <w:r>
        <w:t>Peers: Blackstone Private Credit Fund, PIMCO Flexible Credit Income Fund, CION Ares Diversified Credit Fund, Blue Owl Credit Income Corp.. This is the history of similar investments, not the benchmark, and it is never a public market equivalent.</w:t>
      </w:r>
    </w:p>
    <w:p>
      <w:r>
        <w:t>Window 2021 to 2025 (5 calendar-year period(s), n=4 peers in every period): fund 9.25%/yr (Yahoo adjusted close, approximates NAV total return) vs the peer composite 7.96%/yr, relative wealth ratio 1.0613, annualized excess return 1.2%/yr. Not a public market equivalent: the peer composite is appraisal-based, constructed by the evaluator and cannot be bought. Disclosure: ratios on appraisal-lagged NAVs are window-sensitive and can be smoothing-flattered.</w:t>
      </w:r>
    </w:p>
    <w:p>
      <w:r>
        <w:t>Alignment: 5 calendar-year period(s) with identical start and end dates for every member (2020-12-31 to 2025-12-31), n=4 peers in every period. Member return sources: Blackstone Private Credit Fund: filed calendar-year returns (December fiscal year); PIMCO Flexible Credit Income Fund: Yahoo adjusted close, approximates NAV total return; CION Ares Diversified Credit Fund: Yahoo adjusted close, approximates NAV total return; Blue Owl Credit Income Corp.: filed calendar-year returns (December fiscal year).</w:t>
      </w:r>
    </w:p>
    <w:p>
      <w:r>
        <w:t>Two-point comparison: one contribution at the window start and one valuation at the end, on identical period boundaries. The ratio is fund growth divided by the comparator's growth over the same periods.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Period</w:t>
            </w:r>
          </w:p>
        </w:tc>
        <w:tc>
          <w:tcPr>
            <w:tcW w:type="dxa" w:w="1337"/>
          </w:tcPr>
          <w:p>
            <w:r>
              <w:t>n</w:t>
            </w:r>
          </w:p>
        </w:tc>
        <w:tc>
          <w:tcPr>
            <w:tcW w:type="dxa" w:w="1337"/>
          </w:tcPr>
          <w:p>
            <w:r>
              <w:t>Cliffwater Corporate Lending Fund</w:t>
            </w:r>
          </w:p>
        </w:tc>
        <w:tc>
          <w:tcPr>
            <w:tcW w:type="dxa" w:w="1337"/>
          </w:tcPr>
          <w:p>
            <w:r>
              <w:t>Blackstone Private Credit Fund</w:t>
            </w:r>
          </w:p>
        </w:tc>
        <w:tc>
          <w:tcPr>
            <w:tcW w:type="dxa" w:w="1337"/>
          </w:tcPr>
          <w:p>
            <w:r>
              <w:t>PIMCO Flexible Credit Income Fund</w:t>
            </w:r>
          </w:p>
        </w:tc>
        <w:tc>
          <w:tcPr>
            <w:tcW w:type="dxa" w:w="1337"/>
          </w:tcPr>
          <w:p>
            <w:r>
              <w:t>CION Ares Diversified Credit Fund</w:t>
            </w:r>
          </w:p>
        </w:tc>
        <w:tc>
          <w:tcPr>
            <w:tcW w:type="dxa" w:w="1337"/>
          </w:tcPr>
          <w:p>
            <w:r>
              <w:t>Blue Owl Credit Income Corp.</w:t>
            </w:r>
          </w:p>
        </w:tc>
      </w:tr>
      <w:tr>
        <w:tc>
          <w:tcPr>
            <w:tcW w:type="dxa" w:w="1337"/>
          </w:tcPr>
          <w:p>
            <w:r>
              <w:t>2018</w:t>
            </w:r>
          </w:p>
        </w:tc>
        <w:tc>
          <w:tcPr>
            <w:tcW w:type="dxa" w:w="1337"/>
          </w:tcPr>
          <w:p>
            <w:r>
              <w:t>2</w:t>
            </w:r>
          </w:p>
        </w:tc>
        <w:tc>
          <w:tcPr>
            <w:tcW w:type="dxa" w:w="1337"/>
          </w:tcPr>
          <w:p>
            <w:r>
              <w:t>n/a</w:t>
            </w:r>
          </w:p>
        </w:tc>
        <w:tc>
          <w:tcPr>
            <w:tcW w:type="dxa" w:w="1337"/>
          </w:tcPr>
          <w:p>
            <w:r>
              <w:t>n/a</w:t>
            </w:r>
          </w:p>
        </w:tc>
        <w:tc>
          <w:tcPr>
            <w:tcW w:type="dxa" w:w="1337"/>
          </w:tcPr>
          <w:p>
            <w:r>
              <w:t>2.86%</w:t>
            </w:r>
          </w:p>
        </w:tc>
        <w:tc>
          <w:tcPr>
            <w:tcW w:type="dxa" w:w="1337"/>
          </w:tcPr>
          <w:p>
            <w:r>
              <w:t>4.45%</w:t>
            </w:r>
          </w:p>
        </w:tc>
        <w:tc>
          <w:tcPr>
            <w:tcW w:type="dxa" w:w="1337"/>
          </w:tcPr>
          <w:p>
            <w:r>
              <w:t>n/a</w:t>
            </w:r>
          </w:p>
        </w:tc>
      </w:tr>
      <w:tr>
        <w:tc>
          <w:tcPr>
            <w:tcW w:type="dxa" w:w="1337"/>
          </w:tcPr>
          <w:p>
            <w:r>
              <w:t>2019</w:t>
            </w:r>
          </w:p>
        </w:tc>
        <w:tc>
          <w:tcPr>
            <w:tcW w:type="dxa" w:w="1337"/>
          </w:tcPr>
          <w:p>
            <w:r>
              <w:t>2</w:t>
            </w:r>
          </w:p>
        </w:tc>
        <w:tc>
          <w:tcPr>
            <w:tcW w:type="dxa" w:w="1337"/>
          </w:tcPr>
          <w:p>
            <w:r>
              <w:t>n/a</w:t>
            </w:r>
          </w:p>
        </w:tc>
        <w:tc>
          <w:tcPr>
            <w:tcW w:type="dxa" w:w="1337"/>
          </w:tcPr>
          <w:p>
            <w:r>
              <w:t>n/a</w:t>
            </w:r>
          </w:p>
        </w:tc>
        <w:tc>
          <w:tcPr>
            <w:tcW w:type="dxa" w:w="1337"/>
          </w:tcPr>
          <w:p>
            <w:r>
              <w:t>10.63%</w:t>
            </w:r>
          </w:p>
        </w:tc>
        <w:tc>
          <w:tcPr>
            <w:tcW w:type="dxa" w:w="1337"/>
          </w:tcPr>
          <w:p>
            <w:r>
              <w:t>9.5%</w:t>
            </w:r>
          </w:p>
        </w:tc>
        <w:tc>
          <w:tcPr>
            <w:tcW w:type="dxa" w:w="1337"/>
          </w:tcPr>
          <w:p>
            <w:r>
              <w:t>n/a</w:t>
            </w:r>
          </w:p>
        </w:tc>
      </w:tr>
      <w:tr>
        <w:tc>
          <w:tcPr>
            <w:tcW w:type="dxa" w:w="1337"/>
          </w:tcPr>
          <w:p>
            <w:r>
              <w:t>2020</w:t>
            </w:r>
          </w:p>
        </w:tc>
        <w:tc>
          <w:tcPr>
            <w:tcW w:type="dxa" w:w="1337"/>
          </w:tcPr>
          <w:p>
            <w:r>
              <w:t>3</w:t>
            </w:r>
          </w:p>
        </w:tc>
        <w:tc>
          <w:tcPr>
            <w:tcW w:type="dxa" w:w="1337"/>
          </w:tcPr>
          <w:p>
            <w:r>
              <w:t>5.39%</w:t>
            </w:r>
          </w:p>
        </w:tc>
        <w:tc>
          <w:tcPr>
            <w:tcW w:type="dxa" w:w="1337"/>
          </w:tcPr>
          <w:p>
            <w:r>
              <w:t>n/a</w:t>
            </w:r>
          </w:p>
        </w:tc>
        <w:tc>
          <w:tcPr>
            <w:tcW w:type="dxa" w:w="1337"/>
          </w:tcPr>
          <w:p>
            <w:r>
              <w:t>4.29%</w:t>
            </w:r>
          </w:p>
        </w:tc>
        <w:tc>
          <w:tcPr>
            <w:tcW w:type="dxa" w:w="1337"/>
          </w:tcPr>
          <w:p>
            <w:r>
              <w:t>2.79%</w:t>
            </w:r>
          </w:p>
        </w:tc>
        <w:tc>
          <w:tcPr>
            <w:tcW w:type="dxa" w:w="1337"/>
          </w:tcPr>
          <w:p>
            <w:r>
              <w:t>n/a</w:t>
            </w:r>
          </w:p>
        </w:tc>
      </w:tr>
      <w:tr>
        <w:tc>
          <w:tcPr>
            <w:tcW w:type="dxa" w:w="1337"/>
          </w:tcPr>
          <w:p>
            <w:r>
              <w:t>2021</w:t>
            </w:r>
          </w:p>
        </w:tc>
        <w:tc>
          <w:tcPr>
            <w:tcW w:type="dxa" w:w="1337"/>
          </w:tcPr>
          <w:p>
            <w:r>
              <w:t>5</w:t>
            </w:r>
          </w:p>
        </w:tc>
        <w:tc>
          <w:tcPr>
            <w:tcW w:type="dxa" w:w="1337"/>
          </w:tcPr>
          <w:p>
            <w:r>
              <w:t>10.38%</w:t>
            </w:r>
          </w:p>
        </w:tc>
        <w:tc>
          <w:tcPr>
            <w:tcW w:type="dxa" w:w="1337"/>
          </w:tcPr>
          <w:p>
            <w:r>
              <w:t>12.6%</w:t>
            </w:r>
          </w:p>
        </w:tc>
        <w:tc>
          <w:tcPr>
            <w:tcW w:type="dxa" w:w="1337"/>
          </w:tcPr>
          <w:p>
            <w:r>
              <w:t>11.29%</w:t>
            </w:r>
          </w:p>
        </w:tc>
        <w:tc>
          <w:tcPr>
            <w:tcW w:type="dxa" w:w="1337"/>
          </w:tcPr>
          <w:p>
            <w:r>
              <w:t>9.21%</w:t>
            </w:r>
          </w:p>
        </w:tc>
        <w:tc>
          <w:tcPr>
            <w:tcW w:type="dxa" w:w="1337"/>
          </w:tcPr>
          <w:p>
            <w:r>
              <w:t>4.3%</w:t>
            </w:r>
          </w:p>
        </w:tc>
      </w:tr>
      <w:tr>
        <w:tc>
          <w:tcPr>
            <w:tcW w:type="dxa" w:w="1337"/>
          </w:tcPr>
          <w:p>
            <w:r>
              <w:t>2022</w:t>
            </w:r>
          </w:p>
        </w:tc>
        <w:tc>
          <w:tcPr>
            <w:tcW w:type="dxa" w:w="1337"/>
          </w:tcPr>
          <w:p>
            <w:r>
              <w:t>5</w:t>
            </w:r>
          </w:p>
        </w:tc>
        <w:tc>
          <w:tcPr>
            <w:tcW w:type="dxa" w:w="1337"/>
          </w:tcPr>
          <w:p>
            <w:r>
              <w:t>2.05%</w:t>
            </w:r>
          </w:p>
        </w:tc>
        <w:tc>
          <w:tcPr>
            <w:tcW w:type="dxa" w:w="1337"/>
          </w:tcPr>
          <w:p>
            <w:r>
              <w:t>3.6%</w:t>
            </w:r>
          </w:p>
        </w:tc>
        <w:tc>
          <w:tcPr>
            <w:tcW w:type="dxa" w:w="1337"/>
          </w:tcPr>
          <w:p>
            <w:r>
              <w:t>-15.36%</w:t>
            </w:r>
          </w:p>
        </w:tc>
        <w:tc>
          <w:tcPr>
            <w:tcW w:type="dxa" w:w="1337"/>
          </w:tcPr>
          <w:p>
            <w:r>
              <w:t>-2.85%</w:t>
            </w:r>
          </w:p>
        </w:tc>
        <w:tc>
          <w:tcPr>
            <w:tcW w:type="dxa" w:w="1337"/>
          </w:tcPr>
          <w:p>
            <w:r>
              <w:t>5.2%</w:t>
            </w:r>
          </w:p>
        </w:tc>
      </w:tr>
      <w:tr>
        <w:tc>
          <w:tcPr>
            <w:tcW w:type="dxa" w:w="1337"/>
          </w:tcPr>
          <w:p>
            <w:r>
              <w:t>2023</w:t>
            </w:r>
          </w:p>
        </w:tc>
        <w:tc>
          <w:tcPr>
            <w:tcW w:type="dxa" w:w="1337"/>
          </w:tcPr>
          <w:p>
            <w:r>
              <w:t>5</w:t>
            </w:r>
          </w:p>
        </w:tc>
        <w:tc>
          <w:tcPr>
            <w:tcW w:type="dxa" w:w="1337"/>
          </w:tcPr>
          <w:p>
            <w:r>
              <w:t>12.66%</w:t>
            </w:r>
          </w:p>
        </w:tc>
        <w:tc>
          <w:tcPr>
            <w:tcW w:type="dxa" w:w="1337"/>
          </w:tcPr>
          <w:p>
            <w:r>
              <w:t>14.4%</w:t>
            </w:r>
          </w:p>
        </w:tc>
        <w:tc>
          <w:tcPr>
            <w:tcW w:type="dxa" w:w="1337"/>
          </w:tcPr>
          <w:p>
            <w:r>
              <w:t>9.25%</w:t>
            </w:r>
          </w:p>
        </w:tc>
        <w:tc>
          <w:tcPr>
            <w:tcW w:type="dxa" w:w="1337"/>
          </w:tcPr>
          <w:p>
            <w:r>
              <w:t>12.99%</w:t>
            </w:r>
          </w:p>
        </w:tc>
        <w:tc>
          <w:tcPr>
            <w:tcW w:type="dxa" w:w="1337"/>
          </w:tcPr>
          <w:p>
            <w:r>
              <w:t>13.5%</w:t>
            </w:r>
          </w:p>
        </w:tc>
      </w:tr>
      <w:tr>
        <w:tc>
          <w:tcPr>
            <w:tcW w:type="dxa" w:w="1337"/>
          </w:tcPr>
          <w:p>
            <w:r>
              <w:t>2024</w:t>
            </w:r>
          </w:p>
        </w:tc>
        <w:tc>
          <w:tcPr>
            <w:tcW w:type="dxa" w:w="1337"/>
          </w:tcPr>
          <w:p>
            <w:r>
              <w:t>5</w:t>
            </w:r>
          </w:p>
        </w:tc>
        <w:tc>
          <w:tcPr>
            <w:tcW w:type="dxa" w:w="1337"/>
          </w:tcPr>
          <w:p>
            <w:r>
              <w:t>12.62%</w:t>
            </w:r>
          </w:p>
        </w:tc>
        <w:tc>
          <w:tcPr>
            <w:tcW w:type="dxa" w:w="1337"/>
          </w:tcPr>
          <w:p>
            <w:r>
              <w:t>11%</w:t>
            </w:r>
          </w:p>
        </w:tc>
        <w:tc>
          <w:tcPr>
            <w:tcW w:type="dxa" w:w="1337"/>
          </w:tcPr>
          <w:p>
            <w:r>
              <w:t>15.27%</w:t>
            </w:r>
          </w:p>
        </w:tc>
        <w:tc>
          <w:tcPr>
            <w:tcW w:type="dxa" w:w="1337"/>
          </w:tcPr>
          <w:p>
            <w:r>
              <w:t>10.39%</w:t>
            </w:r>
          </w:p>
        </w:tc>
        <w:tc>
          <w:tcPr>
            <w:tcW w:type="dxa" w:w="1337"/>
          </w:tcPr>
          <w:p>
            <w:r>
              <w:t>11.5%</w:t>
            </w:r>
          </w:p>
        </w:tc>
      </w:tr>
      <w:tr>
        <w:tc>
          <w:tcPr>
            <w:tcW w:type="dxa" w:w="1337"/>
          </w:tcPr>
          <w:p>
            <w:r>
              <w:t>2025</w:t>
            </w:r>
          </w:p>
        </w:tc>
        <w:tc>
          <w:tcPr>
            <w:tcW w:type="dxa" w:w="1337"/>
          </w:tcPr>
          <w:p>
            <w:r>
              <w:t>5</w:t>
            </w:r>
          </w:p>
        </w:tc>
        <w:tc>
          <w:tcPr>
            <w:tcW w:type="dxa" w:w="1337"/>
          </w:tcPr>
          <w:p>
            <w:r>
              <w:t>8.92%</w:t>
            </w:r>
          </w:p>
        </w:tc>
        <w:tc>
          <w:tcPr>
            <w:tcW w:type="dxa" w:w="1337"/>
          </w:tcPr>
          <w:p>
            <w:r>
              <w:t>8%</w:t>
            </w:r>
          </w:p>
        </w:tc>
        <w:tc>
          <w:tcPr>
            <w:tcW w:type="dxa" w:w="1337"/>
          </w:tcPr>
          <w:p>
            <w:r>
              <w:t>12.2%</w:t>
            </w:r>
          </w:p>
        </w:tc>
        <w:tc>
          <w:tcPr>
            <w:tcW w:type="dxa" w:w="1337"/>
          </w:tcPr>
          <w:p>
            <w:r>
              <w:t>7.69%</w:t>
            </w:r>
          </w:p>
        </w:tc>
        <w:tc>
          <w:tcPr>
            <w:tcW w:type="dxa" w:w="1337"/>
          </w:tcPr>
          <w:p>
            <w:r>
              <w:t>7.9%</w:t>
            </w:r>
          </w:p>
        </w:tc>
      </w:tr>
    </w:tbl>
    <w:p>
      <w:r>
        <w:t>The cohort is the roster's 5 surviving, still-filing products. Funds that closed, merged, or stopped filing are not in it, so any composite carries survivorship bias in the fund's favor. Membership rationales and exclusions are in the roster record.</w:t>
      </w:r>
    </w:p>
    <w:p>
      <w:r>
        <w:t>Members span 2 wrapper types (interval fund (Rule 23c-3), non-traded BDC) and 2 leverage regimes (1940-Act asset-coverage limits, BDC 150% asset-coverage regime). Fee bases, leverage and exit rights are not like-for-like, so the comparison is a history of similar investments, not a like-for-like index.</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2880"/>
          </w:tcPr>
          <w:p>
            <w:r>
              <w:t>Candidate</w:t>
            </w:r>
          </w:p>
        </w:tc>
        <w:tc>
          <w:tcPr>
            <w:tcW w:type="dxa" w:w="1008"/>
          </w:tcPr>
          <w:p>
            <w:r>
              <w:t>Score</w:t>
            </w:r>
          </w:p>
        </w:tc>
        <w:tc>
          <w:tcPr>
            <w:tcW w:type="dxa" w:w="5472"/>
          </w:tcPr>
          <w:p>
            <w:r>
              <w:t>Reason and criteria</w:t>
            </w:r>
          </w:p>
        </w:tc>
      </w:tr>
      <w:tr>
        <w:tc>
          <w:tcPr>
            <w:tcW w:type="dxa" w:w="2880"/>
          </w:tcPr>
          <w:p>
            <w:r>
              <w:t>Cliffwater Direct Lending Index (CDLI)</w:t>
            </w:r>
          </w:p>
        </w:tc>
        <w:tc>
          <w:tcPr>
            <w:tcW w:type="dxa" w:w="1008"/>
          </w:tcPr>
          <w:p>
            <w:r>
              <w:t>7/12</w:t>
            </w:r>
          </w:p>
        </w:tc>
        <w:tc>
          <w:tcPr>
            <w:tcW w:type="dxa" w:w="5472"/>
          </w:tcPr>
          <w:p>
            <w:r>
              <w:t>rejected: affiliated provider (score 7/12), an index published by the fund's own adviser is ineligible for the meaningful-benchmark slot Criteria: strategy_match 3/3: same asset class and sub-strategy (private credit / direct lending), risk_liquidity_match 2/3: appraisal-based index without a dealing mechanism of its own against a NAV fund (quarterly dealing at NAV under 5% cap per quarter): the pricing process matches, the liquidity terms cannot, provider_independence 0/2: index published by the fund's own adviser (Cliffwater) per the registry affiliation map. A manufacturer-owned yardstick is not an independent comparator and is ineligible for the meaningful-benchmark slot, data_held 0/2: cited, series not in the record: no comparison can be computed yet, pricing_basis_match 2/2: both appraisal-based NAV series.</w:t>
            </w:r>
          </w:p>
        </w:tc>
      </w:tr>
      <w:tr>
        <w:tc>
          <w:tcPr>
            <w:tcW w:type="dxa" w:w="2880"/>
          </w:tcPr>
          <w:p>
            <w:r>
              <w:t>Bloomberg US Aggregate Bond Index</w:t>
            </w:r>
          </w:p>
        </w:tc>
        <w:tc>
          <w:tcPr>
            <w:tcW w:type="dxa" w:w="1008"/>
          </w:tcPr>
          <w:p>
            <w:r>
              <w:t>6/12</w:t>
            </w:r>
          </w:p>
        </w:tc>
        <w:tc>
          <w:tcPr>
            <w:tcW w:type="dxa" w:w="5472"/>
          </w:tcPr>
          <w:p>
            <w:r>
              <w:t>score 6/12 below the threshold 7/12 Criteria: strategy_match 2/3: the public-market version of the asset class (core bonds for direct lending), risk_liquidity_match 1/3: daily-liquid market series against a semi-liquid NAV fund (quarterly dealing at NAV under 5% cap per quarter): volatility and liquidity regimes differ, the PME construct exists for exactly this comparison, provider_independence 2/2: provider unaffiliated with the fund (Bloomberg): the registry affiliation map ties it to none of the fund's advisers, data_held 0/2: cited, series not in the record: no comparison can be computed yet, pricing_basis_match 1/2: a market-priced series standing in for an appraisal-based fund: comparable only through a PME, which is window-sensitive on appraisal-lagged NAVs.</w:t>
            </w:r>
          </w:p>
        </w:tc>
      </w:tr>
      <w:tr>
        <w:tc>
          <w:tcPr>
            <w:tcW w:type="dxa" w:w="2880"/>
          </w:tcPr>
          <w:p>
            <w:r>
              <w:t>Credit Suisse Leveraged Loan Index (CSLLI)</w:t>
            </w:r>
          </w:p>
        </w:tc>
        <w:tc>
          <w:tcPr>
            <w:tcW w:type="dxa" w:w="1008"/>
          </w:tcPr>
          <w:p>
            <w:r>
              <w:t>6/12</w:t>
            </w:r>
          </w:p>
        </w:tc>
        <w:tc>
          <w:tcPr>
            <w:tcW w:type="dxa" w:w="5472"/>
          </w:tcPr>
          <w:p>
            <w:r>
              <w:t>score 6/12 below the threshold 7/12 Criteria: strategy_match 2/3: the public-market version of the asset class (leveraged loans for direct lending), risk_liquidity_match 1/3: daily-liquid market series against a semi-liquid NAV fund (quarterly dealing at NAV under 5% cap per quarter): volatility and liquidity regimes differ, the PME construct exists for exactly this comparison, provider_independence 2/2: provider unaffiliated with the fund (Credit Suisse (UBS)): the registry affiliation map ties it to none of the fund's advisers, data_held 0/2: cited, series not in the record: no comparison can be computed yet, pricing_basis_match 1/2: a market-priced series standing in for an appraisal-based fund: comparable only through a PME, which is window-sensitive on appraisal-lagged NAVs.</w:t>
            </w:r>
          </w:p>
        </w:tc>
      </w:tr>
      <w:tr>
        <w:tc>
          <w:tcPr>
            <w:tcW w:type="dxa" w:w="2880"/>
          </w:tcPr>
          <w:p>
            <w:r>
              <w:t>Morningstar LSTA US Leveraged Loan Index</w:t>
            </w:r>
          </w:p>
        </w:tc>
        <w:tc>
          <w:tcPr>
            <w:tcW w:type="dxa" w:w="1008"/>
          </w:tcPr>
          <w:p>
            <w:r>
              <w:t>6/12</w:t>
            </w:r>
          </w:p>
        </w:tc>
        <w:tc>
          <w:tcPr>
            <w:tcW w:type="dxa" w:w="5472"/>
          </w:tcPr>
          <w:p>
            <w:r>
              <w:t>score 6/12 below the threshold 7/12 Criteria: strategy_match 2/3: the public-market version of the asset class (syndicated loans for direct lending), risk_liquidity_match 1/3: daily-liquid market series against a semi-liquid NAV fund (quarterly dealing at NAV under 5% cap per quarter): volatility and liquidity regimes differ, the PME construct exists for exactly this comparison, provider_independence 2/2: provider unaffiliated with the fund (Morningstar / LSTA): the registry affiliation map ties it to none of the fund's advisers, data_held 0/2: cited, series not in the record: no comparison can be computed yet, pricing_basis_match 1/2: a market-priced series standing in for an appraisal-based fund: comparable only through a PME, which is window-sensitive on appraisal-lagged NAVs.</w:t>
            </w:r>
          </w:p>
        </w:tc>
      </w:tr>
    </w:tbl>
    <w:p>
      <w:pPr>
        <w:pStyle w:val="Heading1"/>
      </w:pPr>
      <w:r>
        <w:t>Product-to-plan liquidity match</w:t>
      </w:r>
    </w:p>
    <w:p>
      <w:r>
        <w:t>Plan: US media/technology company 401(k) plan (~$570M, New York). verdict is structural (typed facts, cells 3.1, 3.3, 2.7, plan-independent). scenario_verdict is ILLUSTRATIVE (the plan's filed outflow proxy as the base demand and the sliders as the stress, against the same capacity, per plan).</w:t>
      </w:r>
    </w:p>
    <w:p>
      <w:pPr>
        <w:pStyle w:val="Heading2"/>
      </w:pPr>
      <w:r>
        <w:t>Structural verdict (typed facts, plan-independent)</w:t>
      </w:r>
    </w:p>
    <w:p>
      <w:r>
        <w:t>PARTIAL</w:t>
      </w:r>
    </w:p>
    <w:p>
      <w:pPr>
        <w:pStyle w:val="ListBullet"/>
      </w:pPr>
      <w:r>
        <w:t>STRUCTURAL GAP: a participant-directed 404(c) menu assumes daily pricing and daily participant liquidity, whereas this wrapper deals quarterly with a 5% cap per quarter on outstanding shares. Direct DIA use requires a bridging structure: CIT sleeve, managed account, or TDF sleeve (cell 3.5).</w:t>
      </w:r>
    </w:p>
    <w:p>
      <w:pPr>
        <w:pStyle w:val="ListBullet"/>
      </w:pPr>
      <w:r>
        <w:t>Facts missing for a structural verdict: gate_history (N-23C3A filings are offer NOTIFICATIONS, not results. Per-offer proration outcomes not yet evidenced). The verdict stays partial until they are typed from the filings.</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interval fund (Rule 23c-3)</w:t>
            </w:r>
          </w:p>
        </w:tc>
        <w:tc>
          <w:tcPr>
            <w:tcW w:type="dxa" w:w="1152"/>
          </w:tcPr>
          <w:p>
            <w:r>
              <w:t>6.1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not typed: N-23C3A filings are offer NOTIFICATIONS, not results. Per-offer proration outcomes not yet evidenced</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r>
        <w:tc>
          <w:tcPr>
            <w:tcW w:type="dxa" w:w="2448"/>
          </w:tcPr>
          <w:p>
            <w:r>
              <w:t>Fund net assets (for the dollar capacity)</w:t>
            </w:r>
          </w:p>
        </w:tc>
        <w:tc>
          <w:tcPr>
            <w:tcW w:type="dxa" w:w="5760"/>
          </w:tcPr>
          <w:p>
            <w:r>
              <w:t>not typed: net assets ~$31.26B printed, but the carrying cells (1.1/3.6) are partial - verification unlocks this fact</w:t>
            </w:r>
          </w:p>
        </w:tc>
        <w:tc>
          <w:tcPr>
            <w:tcW w:type="dxa" w:w="1152"/>
          </w:tcPr>
          <w:p>
            <w:r>
              <w:t>3.4</w:t>
            </w:r>
          </w:p>
        </w:tc>
      </w:tr>
    </w:tbl>
    <w:p>
      <w:pPr>
        <w:pStyle w:val="Heading2"/>
      </w:pPr>
      <w:r>
        <w:t>Scenario (ILLUSTRATIVE, this plan)</w:t>
      </w:r>
    </w:p>
    <w:p>
      <w:r>
        <w:t>Plan inputs (Form 5500): net assets $565.8M, liquidity tail 36.1% of accounts (1,847 separated participants with balances), filed outflow proxy 11.7% of beginning net assets per year (Schedule H totals of the plan's Form 5500 for plan year 2024-01-01 to 2024-12-31, from the plan record: total expenses less administrative expenses over beginning net assets, an upper bound on benefit payments while Schedule H line 2e is not in the record).</w:t>
      </w:r>
    </w:p>
    <w:p>
      <w:r>
        <w:t>Base demand (filed outflow proxy applied to a 5% allocation = $28.3M): $3.3M/yr = 11.7% of the position per year vs annual wrapper capacity 20%.</w:t>
      </w:r>
    </w:p>
    <w:p>
      <w:r>
        <w:t>Slider assumption (adjustable on the site, not a fact): tail turnover 20%/yr, active turnover 5%/yr, 10.4% of the position per year = $2.9M/yr, shown beside the filed rate, not blended with it.</w:t>
      </w:r>
    </w:p>
    <w:p>
      <w:r>
        <w:t>Stressed (the filed outflow proxy plus the increment the sliders add under stress (tail turnover x2, active turnover x1.5 over the slider assumption)): demand $5.8M/yr = 20.5% of the position. EXCEEDS annual wrapper capacity (20.5% vs 20%). Unmet demand rolls into later windows (gating-equivalent outcome).</w:t>
      </w:r>
    </w:p>
    <w:p>
      <w:r>
        <w:t>Fund capacity in dollars: not computable, the fund's net assets are not typed in the record (net assets ~$31.26B printed, but the carrying cells (1.1/3.6) are partial - verification unlocks this fact), so the plan's dollar demand cannot be set against the fund's dollar capacity and the allocation slider is not shown.</w:t>
      </w:r>
    </w:p>
    <w:p>
      <w:r>
        <w:t>Scenario verdict (ILLUSTRATIVE, this plan): CONDITIONAL-WEAK.</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Filed outflow proxy (Schedule H, plan year 2024-01-01 to 2024-12-31): 11.7% of the position per year vs 20% annual wrapper capacity, the plan's total expenses less administrative expenses over beginning net assets, applied to the position. Adequate headroom at the filed rate if offers are not prorated.</w:t>
      </w:r>
    </w:p>
    <w:p>
      <w:pPr>
        <w:pStyle w:val="ListBullet"/>
      </w:pPr>
      <w:r>
        <w:t>Slider assumption (illustrative): 10.4% of the position per year vs 20% annual wrapper capacity, from tail turnover 20%/yr on the 36.1% of accounts that are separated and active turnover 5%/yr on the rest. Shown beside the filed rate, not blended with it. Within 60% of wrapper capacity at these sliders.</w:t>
      </w:r>
    </w:p>
    <w:p>
      <w:pPr>
        <w:pStyle w:val="ListBullet"/>
      </w:pPr>
      <w:r>
        <w:t>Scenario verdict (ILLUSTRATIVE, this plan): conditional-weak. Misaligned when the filed outflow proxy exceeds the annual wrapper capacity, conditional-weak when the stressed demand exceeds it, conditional otherwise. It moves with the plan's filing and the sliders. Proration assumption: an oversubscribed offer is filled pro rata and the unfilled remainder waits for the next window.</w:t>
      </w:r>
    </w:p>
    <w:p>
      <w:pPr>
        <w:pStyle w:val="ListBullet"/>
      </w:pPr>
      <w:r>
        <w:t>Schedule H benefit-payment line 2e is not yet in the plan record. The filed outflow proxy (total expenses less administrative expenses over beginning net assets) stands in for it as the base demand, and the turnover sliders are the stress around it.</w:t>
      </w:r>
    </w:p>
    <w:p>
      <w:r>
        <w:t>Cited: cell 2.7, cell 3.1, cell 3.3, cell 3.7, plan: plan_tech_media.json (Form 5500, plan year 2024-01-01 to 2024-12-31).</w:t>
      </w:r>
    </w:p>
    <w:p>
      <w:pPr>
        <w:pStyle w:val="Heading1"/>
      </w:pPr>
      <w:r>
        <w:t>Peer cohort placement</w:t>
      </w:r>
    </w:p>
    <w:p>
      <w:r>
        <w:t>Evidence depth tier: FULL. Cohort: Private credit (interval fund + non-traded BDC) (n=5). Membership rationale: Direct corporate lending in a Rule 23c-3 interval wrapper, the cohort's reference member. Daily NAV, quarterly obligated liquidity.</w:t>
      </w:r>
    </w:p>
    <w:p>
      <w:r>
        <w:t>Cohort placement (private credit cohort): mgmt fee: 10th percentile of cohort (n=5), below the median of 1.25 | expense ratio (bases differ, see notes): 10th percentile of cohort (n=5), below the median of 3.76 | repurchase cap: 50th percentile of cohort (n=5), at the median of 5. Statistics and per-member values are in the cohort artifact, membership rationales in the typed facts.</w:t>
      </w:r>
    </w:p>
    <w:p>
      <w:pPr>
        <w:pStyle w:val="ListBullet"/>
      </w:pPr>
      <w:r>
        <w:t>Caveat: 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Caveat: 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Caveat: 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media/technology company 401(k) plan (~$570M, New York).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PARTIAL (typed facts, plan-independent). Scenario verdict under US media/technology company 401(k) plan (~$570M, New York) (ILLUSTRATIVE): CONDITIONAL-WEAK.</w:t>
      </w:r>
    </w:p>
    <w:p>
      <w:r>
        <w:t>Meaningful benchmark (paragraph (k)): Senior loan investable proxy (BKLN, for Morningstar LSTA class) at 8/12. Peer comparison (paragraphs (g) and (h)): relative wealth ratio 1.0613 vs the equal-weight peer composite over 2021 to 2025 (n=4), not a benchmark and not a PME.</w:t>
      </w:r>
    </w:p>
    <w:p>
      <w:r>
        <w:t>Flags raised by the record (each restates a typed value or verdict already in the artifacts, with its source):</w:t>
      </w:r>
    </w:p>
    <w:p>
      <w:pPr>
        <w:pStyle w:val="ListBullet"/>
      </w:pPr>
      <w:r>
        <w:t>Liquidity: structural verdict partial, facts missing: gate_history (cells 3.1, 3.3)</w:t>
      </w:r>
    </w:p>
    <w:p>
      <w:pPr>
        <w:pStyle w:val="ListBullet"/>
      </w:pPr>
      <w:r>
        <w:t>Liquidity: ILLUSTRATIVE scenario verdict conditional-weak under this plan (the filed outflow proxy or the stressed demand above wrapper capacity)</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in this build and quoted where cited.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23, verified 0, computed 13, partial 7, fetched 2, n/a 10, pending 0. 45 of 45 resolvable, 0 verified, 10 n/a by wrapper.</w:t>
      </w:r>
    </w:p>
    <w:p>
      <w:r>
        <w:t>Of the 43 evidenced cells, 43 carry a source document, 42 a section, 28 a verbatim quote (computed cells carry their computation and inputs instead of a quote) and 43 an extractor. No cell is verified: no cell has been independently re-checked by a person, and verified_by is empty on every row. Cells marked extracted-unverified were extracted by an agent from the cited document.</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N-CSR 2026-06-08 (FY ended 3/31/2026)</w:t>
            </w:r>
          </w:p>
        </w:tc>
        <w:tc>
          <w:tcPr>
            <w:tcW w:type="dxa" w:w="5184"/>
          </w:tcPr>
          <w:p>
            <w:r>
              <w:t>N-CSR 2026-06-08 accession 0001213900-26-066324 https://www.sec.gov/Archives/edgar/data/1735964/000121390026066324/ea0291746-01_ncsr.htm</w:t>
            </w:r>
          </w:p>
        </w:tc>
      </w:tr>
      <w:tr>
        <w:tc>
          <w:tcPr>
            <w:tcW w:type="dxa" w:w="720"/>
          </w:tcPr>
          <w:p>
            <w:r>
              <w:t>1.2</w:t>
            </w:r>
          </w:p>
        </w:tc>
        <w:tc>
          <w:tcPr>
            <w:tcW w:type="dxa" w:w="3456"/>
          </w:tcPr>
          <w:p>
            <w:r>
              <w:t>N-CSR 2026-06-08 (FY ended 3/31/2026)</w:t>
            </w:r>
          </w:p>
        </w:tc>
        <w:tc>
          <w:tcPr>
            <w:tcW w:type="dxa" w:w="5184"/>
          </w:tcPr>
          <w:p>
            <w:r>
              <w:t>N-CSR 2026-06-08 accession 0001213900-26-066324 https://www.sec.gov/Archives/edgar/data/1735964/000121390026066324/ea0291746-01_ncsr.htm</w:t>
            </w:r>
          </w:p>
        </w:tc>
      </w:tr>
      <w:tr>
        <w:tc>
          <w:tcPr>
            <w:tcW w:type="dxa" w:w="720"/>
          </w:tcPr>
          <w:p>
            <w:r>
              <w:t>1.3</w:t>
            </w:r>
          </w:p>
        </w:tc>
        <w:tc>
          <w:tcPr>
            <w:tcW w:type="dxa" w:w="3456"/>
          </w:tcPr>
          <w:p>
            <w:r>
              <w:t>N-CSR (annual report, fiscal year ended March 31, 2026), filed 2026-06-08; after-waiver including-interest rows and waiver-termination context from 486BPOS prospectus/SAI dated July 29, 2025, filed 2025-07-29</w:t>
            </w:r>
          </w:p>
        </w:tc>
        <w:tc>
          <w:tcPr>
            <w:tcW w:type="dxa" w:w="5184"/>
          </w:tcPr>
          <w:p>
            <w:r>
              <w:t>N-CSR 2026-06-08 accession 0001213900-26-066324 https://www.sec.gov/Archives/edgar/data/1735964/000121390026066324/ea0291746-01_ncsr.htm</w:t>
            </w:r>
          </w:p>
          <w:p>
            <w:r>
              <w:t>486BPOS 2025-07-29 accession 0001213900-25-068706 https://www.sec.gov/Archives/edgar/data/1735964/000121390025068706/ea0248544-01_486bpos.htm</w:t>
            </w:r>
          </w:p>
        </w:tc>
      </w:tr>
      <w:tr>
        <w:tc>
          <w:tcPr>
            <w:tcW w:type="dxa" w:w="720"/>
          </w:tcPr>
          <w:p>
            <w:r>
              <w:t>1.4</w:t>
            </w:r>
          </w:p>
        </w:tc>
        <w:tc>
          <w:tcPr>
            <w:tcW w:type="dxa" w:w="3456"/>
          </w:tcPr>
          <w:p>
            <w:r>
              <w:t>N-CSR (annual report, fiscal year ended March 31, 2026), filed 2026-06-08</w:t>
            </w:r>
          </w:p>
        </w:tc>
        <w:tc>
          <w:tcPr>
            <w:tcW w:type="dxa" w:w="5184"/>
          </w:tcPr>
          <w:p>
            <w:r>
              <w:t>N-CSR 2026-06-08 accession 0001213900-26-066324 https://www.sec.gov/Archives/edgar/data/1735964/000121390026066324/ea0291746-01_ncsr.htm</w:t>
            </w:r>
          </w:p>
        </w:tc>
      </w:tr>
      <w:tr>
        <w:tc>
          <w:tcPr>
            <w:tcW w:type="dxa" w:w="720"/>
          </w:tcPr>
          <w:p>
            <w:r>
              <w:t>1.6</w:t>
            </w:r>
          </w:p>
        </w:tc>
        <w:tc>
          <w:tcPr>
            <w:tcW w:type="dxa" w:w="3456"/>
          </w:tcPr>
          <w:p>
            <w:r>
              <w:t>analytics supplement artifact (series diagnostics)</w:t>
            </w:r>
          </w:p>
        </w:tc>
        <w:tc>
          <w:tcPr>
            <w:tcW w:type="dxa" w:w="5184"/>
          </w:tcPr>
          <w:p>
            <w:r>
              <w:t>accession not on record: no filing reference in the source field</w:t>
            </w:r>
          </w:p>
        </w:tc>
      </w:tr>
      <w:tr>
        <w:tc>
          <w:tcPr>
            <w:tcW w:type="dxa" w:w="720"/>
          </w:tcPr>
          <w:p>
            <w:r>
              <w:t>1.7</w:t>
            </w:r>
          </w:p>
        </w:tc>
        <w:tc>
          <w:tcPr>
            <w:tcW w:type="dxa" w:w="3456"/>
          </w:tcPr>
          <w:p>
            <w:r>
              <w:t>analytics supplement artifact (series diagnostics)</w:t>
            </w:r>
          </w:p>
        </w:tc>
        <w:tc>
          <w:tcPr>
            <w:tcW w:type="dxa" w:w="5184"/>
          </w:tcPr>
          <w:p>
            <w:r>
              <w:t>accession not on record: no filing reference in the source field</w:t>
            </w:r>
          </w:p>
        </w:tc>
      </w:tr>
      <w:tr>
        <w:tc>
          <w:tcPr>
            <w:tcW w:type="dxa" w:w="720"/>
          </w:tcPr>
          <w:p>
            <w:r>
              <w:t>1.8</w:t>
            </w:r>
          </w:p>
        </w:tc>
        <w:tc>
          <w:tcPr>
            <w:tcW w:type="dxa" w:w="3456"/>
          </w:tcPr>
          <w:p>
            <w:r>
              <w:t>benchmark selection artifact (Cliffwater Corporate Lending Fund)</w:t>
            </w:r>
          </w:p>
        </w:tc>
        <w:tc>
          <w:tcPr>
            <w:tcW w:type="dxa" w:w="5184"/>
          </w:tcPr>
          <w:p>
            <w:r>
              <w:t>accession not on record: no filing reference in the source field</w:t>
            </w:r>
          </w:p>
        </w:tc>
      </w:tr>
      <w:tr>
        <w:tc>
          <w:tcPr>
            <w:tcW w:type="dxa" w:w="720"/>
          </w:tcPr>
          <w:p>
            <w:r>
              <w:t>1.9</w:t>
            </w:r>
          </w:p>
        </w:tc>
        <w:tc>
          <w:tcPr>
            <w:tcW w:type="dxa" w:w="3456"/>
          </w:tcPr>
          <w:p>
            <w:r>
              <w:t>analytics supplement artifact (stress windows)</w:t>
            </w:r>
          </w:p>
        </w:tc>
        <w:tc>
          <w:tcPr>
            <w:tcW w:type="dxa" w:w="5184"/>
          </w:tcPr>
          <w:p>
            <w:r>
              <w:t>accession not on record: no filing reference in the source field</w:t>
            </w:r>
          </w:p>
        </w:tc>
      </w:tr>
      <w:tr>
        <w:tc>
          <w:tcPr>
            <w:tcW w:type="dxa" w:w="720"/>
          </w:tcPr>
          <w:p>
            <w:r>
              <w:t>1.11</w:t>
            </w:r>
          </w:p>
        </w:tc>
        <w:tc>
          <w:tcPr>
            <w:tcW w:type="dxa" w:w="3456"/>
          </w:tcPr>
          <w:p>
            <w:r>
              <w:t>486BPOS prospectus/SAI dated July 29, 2025, filed 2025-07-29</w:t>
            </w:r>
          </w:p>
        </w:tc>
        <w:tc>
          <w:tcPr>
            <w:tcW w:type="dxa" w:w="5184"/>
          </w:tcPr>
          <w:p>
            <w:r>
              <w:t>486BPOS 2025-07-29 accession 0001213900-25-068706 https://www.sec.gov/Archives/edgar/data/1735964/000121390025068706/ea0248544-01_486bpos.htm</w:t>
            </w:r>
          </w:p>
        </w:tc>
      </w:tr>
      <w:tr>
        <w:tc>
          <w:tcPr>
            <w:tcW w:type="dxa" w:w="720"/>
          </w:tcPr>
          <w:p>
            <w:r>
              <w:t>1.12</w:t>
            </w:r>
          </w:p>
        </w:tc>
        <w:tc>
          <w:tcPr>
            <w:tcW w:type="dxa" w:w="3456"/>
          </w:tcPr>
          <w:p>
            <w:r>
              <w:t>benchmark selection artifact (Cliffwater Corporate Lending Fund)</w:t>
            </w:r>
          </w:p>
        </w:tc>
        <w:tc>
          <w:tcPr>
            <w:tcW w:type="dxa" w:w="5184"/>
          </w:tcPr>
          <w:p>
            <w:r>
              <w:t>accession not on record: no filing reference in the source field</w:t>
            </w:r>
          </w:p>
        </w:tc>
      </w:tr>
      <w:tr>
        <w:tc>
          <w:tcPr>
            <w:tcW w:type="dxa" w:w="720"/>
          </w:tcPr>
          <w:p>
            <w:r>
              <w:t>2.1</w:t>
            </w:r>
          </w:p>
        </w:tc>
        <w:tc>
          <w:tcPr>
            <w:tcW w:type="dxa" w:w="3456"/>
          </w:tcPr>
          <w:p>
            <w:r>
              <w:t>N-CSR 2026-06-08 (FY ended 3/31/2026)</w:t>
            </w:r>
          </w:p>
        </w:tc>
        <w:tc>
          <w:tcPr>
            <w:tcW w:type="dxa" w:w="5184"/>
          </w:tcPr>
          <w:p>
            <w:r>
              <w:t>N-CSR 2026-06-08 accession 0001213900-26-066324 https://www.sec.gov/Archives/edgar/data/1735964/000121390026066324/ea0291746-01_ncsr.htm</w:t>
            </w:r>
          </w:p>
        </w:tc>
      </w:tr>
      <w:tr>
        <w:tc>
          <w:tcPr>
            <w:tcW w:type="dxa" w:w="720"/>
          </w:tcPr>
          <w:p>
            <w:r>
              <w:t>2.2</w:t>
            </w:r>
          </w:p>
        </w:tc>
        <w:tc>
          <w:tcPr>
            <w:tcW w:type="dxa" w:w="3456"/>
          </w:tcPr>
          <w:p>
            <w:r>
              <w:t>N-CSR 2026-06-08 (FY ended 3/31/2026)</w:t>
            </w:r>
          </w:p>
        </w:tc>
        <w:tc>
          <w:tcPr>
            <w:tcW w:type="dxa" w:w="5184"/>
          </w:tcPr>
          <w:p>
            <w:r>
              <w:t>N-CSR 2026-06-08 accession 0001213900-26-066324 https://www.sec.gov/Archives/edgar/data/1735964/000121390026066324/ea0291746-01_ncsr.htm</w:t>
            </w:r>
          </w:p>
        </w:tc>
      </w:tr>
      <w:tr>
        <w:tc>
          <w:tcPr>
            <w:tcW w:type="dxa" w:w="720"/>
          </w:tcPr>
          <w:p>
            <w:r>
              <w:t>2.3</w:t>
            </w:r>
          </w:p>
        </w:tc>
        <w:tc>
          <w:tcPr>
            <w:tcW w:type="dxa" w:w="3456"/>
          </w:tcPr>
          <w:p>
            <w:r>
              <w:t>N-CSR 2026-06-08 (FY ended 3/31/2026)</w:t>
            </w:r>
          </w:p>
        </w:tc>
        <w:tc>
          <w:tcPr>
            <w:tcW w:type="dxa" w:w="5184"/>
          </w:tcPr>
          <w:p>
            <w:r>
              <w:t>N-CSR 2026-06-08 accession 0001213900-26-066324 https://www.sec.gov/Archives/edgar/data/1735964/000121390026066324/ea0291746-01_ncsr.htm</w:t>
            </w:r>
          </w:p>
        </w:tc>
      </w:tr>
      <w:tr>
        <w:tc>
          <w:tcPr>
            <w:tcW w:type="dxa" w:w="720"/>
          </w:tcPr>
          <w:p>
            <w:r>
              <w:t>2.4</w:t>
            </w:r>
          </w:p>
        </w:tc>
        <w:tc>
          <w:tcPr>
            <w:tcW w:type="dxa" w:w="3456"/>
          </w:tcPr>
          <w:p>
            <w:r>
              <w:t>486BPOS prospectus dated July 29, 2025, filed 2025-07-29</w:t>
            </w:r>
          </w:p>
        </w:tc>
        <w:tc>
          <w:tcPr>
            <w:tcW w:type="dxa" w:w="5184"/>
          </w:tcPr>
          <w:p>
            <w:r>
              <w:t>486BPOS 2025-07-29 accession 0001213900-25-068706 https://www.sec.gov/Archives/edgar/data/1735964/000121390025068706/ea0248544-01_486bpos.htm</w:t>
            </w:r>
          </w:p>
        </w:tc>
      </w:tr>
      <w:tr>
        <w:tc>
          <w:tcPr>
            <w:tcW w:type="dxa" w:w="720"/>
          </w:tcPr>
          <w:p>
            <w:r>
              <w:t>2.5</w:t>
            </w:r>
          </w:p>
        </w:tc>
        <w:tc>
          <w:tcPr>
            <w:tcW w:type="dxa" w:w="3456"/>
          </w:tcPr>
          <w:p>
            <w:r>
              <w:t>486BPOS prospectus dated July 29, 2025, filed 2025-07-29</w:t>
            </w:r>
          </w:p>
        </w:tc>
        <w:tc>
          <w:tcPr>
            <w:tcW w:type="dxa" w:w="5184"/>
          </w:tcPr>
          <w:p>
            <w:r>
              <w:t>486BPOS 2025-07-29 accession 0001213900-25-068706 https://www.sec.gov/Archives/edgar/data/1735964/000121390025068706/ea0248544-01_486bpos.htm</w:t>
            </w:r>
          </w:p>
        </w:tc>
      </w:tr>
      <w:tr>
        <w:tc>
          <w:tcPr>
            <w:tcW w:type="dxa" w:w="720"/>
          </w:tcPr>
          <w:p>
            <w:r>
              <w:t>2.6</w:t>
            </w:r>
          </w:p>
        </w:tc>
        <w:tc>
          <w:tcPr>
            <w:tcW w:type="dxa" w:w="3456"/>
          </w:tcPr>
          <w:p>
            <w:r>
              <w:t>486BPOS prospectus dated July 29, 2025, filed 2025-07-29</w:t>
            </w:r>
          </w:p>
        </w:tc>
        <w:tc>
          <w:tcPr>
            <w:tcW w:type="dxa" w:w="5184"/>
          </w:tcPr>
          <w:p>
            <w:r>
              <w:t>486BPOS 2025-07-29 accession 0001213900-25-068706 https://www.sec.gov/Archives/edgar/data/1735964/000121390025068706/ea0248544-01_486bpos.htm</w:t>
            </w:r>
          </w:p>
        </w:tc>
      </w:tr>
      <w:tr>
        <w:tc>
          <w:tcPr>
            <w:tcW w:type="dxa" w:w="720"/>
          </w:tcPr>
          <w:p>
            <w:r>
              <w:t>2.7</w:t>
            </w:r>
          </w:p>
        </w:tc>
        <w:tc>
          <w:tcPr>
            <w:tcW w:type="dxa" w:w="3456"/>
          </w:tcPr>
          <w:p>
            <w:r>
              <w:t>N-23C3A filed 2026-05-08 (and the 7 earlier N-23C3A filings in the fund's raw filings on disk); 486BPOS 2025-07-29 fundamental policies</w:t>
            </w:r>
          </w:p>
        </w:tc>
        <w:tc>
          <w:tcPr>
            <w:tcW w:type="dxa" w:w="5184"/>
          </w:tcPr>
          <w:p>
            <w:r>
              <w:t>N-23C3A 2026-05-08 accession 0001213900-26-053701 https://www.sec.gov/Archives/edgar/data/1735964/000121390026053701/ea0289460-01_n23c3a.htm</w:t>
            </w:r>
          </w:p>
          <w:p>
            <w:r>
              <w:t>N-23C3A, cited as the set of N-23C3A filings, 8 held:</w:t>
            </w:r>
          </w:p>
          <w:p>
            <w:r>
              <w:t>2024-07-15 accession 0001213900-24-061279 https://www.sec.gov/Archives/edgar/data/1735964/000121390024061279/ea0209299-01_n23c3a.htm</w:t>
            </w:r>
          </w:p>
          <w:p>
            <w:r>
              <w:t>2024-10-15 accession 0001213900-24-087625 https://www.sec.gov/Archives/edgar/data/1735964/000121390024087625/ea0217326-01_n23c3a.htm</w:t>
            </w:r>
          </w:p>
          <w:p>
            <w:r>
              <w:t>2025-01-17 accession 0001213900-25-004435 https://www.sec.gov/Archives/edgar/data/1735964/000121390025004435/ea0227783-01_n23c3a.htm</w:t>
            </w:r>
          </w:p>
          <w:p>
            <w:r>
              <w:t>2025-05-08 accession 0001213900-25-040865 https://www.sec.gov/Archives/edgar/data/1735964/000121390025040865/ea0241107-01_n23c3a.htm</w:t>
            </w:r>
          </w:p>
          <w:p>
            <w:r>
              <w:t>2025-08-07 accession 0001213900-25-072928 https://www.sec.gov/Archives/edgar/data/1735964/000121390025072928/ea0251882-01_n23c3a.htm</w:t>
            </w:r>
          </w:p>
          <w:p>
            <w:r>
              <w:t>2025-11-06 accession 0001213900-25-107013 https://www.sec.gov/Archives/edgar/data/1735964/000121390025107013/ea0263913-01_n23c3a.htm</w:t>
            </w:r>
          </w:p>
          <w:p>
            <w:r>
              <w:t>2026-02-05 accession 0001213900-26-012614 https://www.sec.gov/Archives/edgar/data/1735964/000121390026012614/ea0275339-01_n23c3a.htm</w:t>
            </w:r>
          </w:p>
          <w:p>
            <w:r>
              <w:t>2026-05-08 accession 0001213900-26-053701 https://www.sec.gov/Archives/edgar/data/1735964/000121390026053701/ea0289460-01_n23c3a.htm</w:t>
            </w:r>
          </w:p>
          <w:p>
            <w:r>
              <w:t>486BPOS 2025-07-29 accession 0001213900-25-068706 https://www.sec.gov/Archives/edgar/data/1735964/000121390025068706/ea0248544-01_486bpos.htm</w:t>
            </w:r>
          </w:p>
        </w:tc>
      </w:tr>
      <w:tr>
        <w:tc>
          <w:tcPr>
            <w:tcW w:type="dxa" w:w="720"/>
          </w:tcPr>
          <w:p>
            <w:r>
              <w:t>2.9</w:t>
            </w:r>
          </w:p>
        </w:tc>
        <w:tc>
          <w:tcPr>
            <w:tcW w:type="dxa" w:w="3456"/>
          </w:tcPr>
          <w:p>
            <w:r>
              <w:t>cohort artifact (private credit cohort)</w:t>
            </w:r>
          </w:p>
        </w:tc>
        <w:tc>
          <w:tcPr>
            <w:tcW w:type="dxa" w:w="5184"/>
          </w:tcPr>
          <w:p>
            <w:r>
              <w:t>accession not on record: no filing reference in the source field</w:t>
            </w:r>
          </w:p>
        </w:tc>
      </w:tr>
      <w:tr>
        <w:tc>
          <w:tcPr>
            <w:tcW w:type="dxa" w:w="720"/>
          </w:tcPr>
          <w:p>
            <w:r>
              <w:t>3.1</w:t>
            </w:r>
          </w:p>
        </w:tc>
        <w:tc>
          <w:tcPr>
            <w:tcW w:type="dxa" w:w="3456"/>
          </w:tcPr>
          <w:p>
            <w:r>
              <w:t>N-23C3A 2026-05-08</w:t>
            </w:r>
          </w:p>
        </w:tc>
        <w:tc>
          <w:tcPr>
            <w:tcW w:type="dxa" w:w="5184"/>
          </w:tcPr>
          <w:p>
            <w:r>
              <w:t>N-23C3A 2026-05-08 accession 0001213900-26-053701 https://www.sec.gov/Archives/edgar/data/1735964/000121390026053701/ea0289460-01_n23c3a.htm</w:t>
            </w:r>
          </w:p>
        </w:tc>
      </w:tr>
      <w:tr>
        <w:tc>
          <w:tcPr>
            <w:tcW w:type="dxa" w:w="720"/>
          </w:tcPr>
          <w:p>
            <w:r>
              <w:t>3.2</w:t>
            </w:r>
          </w:p>
        </w:tc>
        <w:tc>
          <w:tcPr>
            <w:tcW w:type="dxa" w:w="3456"/>
          </w:tcPr>
          <w:p>
            <w:r>
              <w:t>N-23C3A filed 2026-05-08; 486BPOS prospectus/SAI dated July 29, 2025, filed 2025-07-29</w:t>
            </w:r>
          </w:p>
        </w:tc>
        <w:tc>
          <w:tcPr>
            <w:tcW w:type="dxa" w:w="5184"/>
          </w:tcPr>
          <w:p>
            <w:r>
              <w:t>N-23C3A 2026-05-08 accession 0001213900-26-053701 https://www.sec.gov/Archives/edgar/data/1735964/000121390026053701/ea0289460-01_n23c3a.htm</w:t>
            </w:r>
          </w:p>
          <w:p>
            <w:r>
              <w:t>486BPOS 2025-07-29 accession 0001213900-25-068706 https://www.sec.gov/Archives/edgar/data/1735964/000121390025068706/ea0248544-01_486bpos.htm</w:t>
            </w:r>
          </w:p>
        </w:tc>
      </w:tr>
      <w:tr>
        <w:tc>
          <w:tcPr>
            <w:tcW w:type="dxa" w:w="720"/>
          </w:tcPr>
          <w:p>
            <w:r>
              <w:t>3.4</w:t>
            </w:r>
          </w:p>
        </w:tc>
        <w:tc>
          <w:tcPr>
            <w:tcW w:type="dxa" w:w="3456"/>
          </w:tcPr>
          <w:p>
            <w:r>
              <w:t>N-CSR (annual report, fiscal year ended March 31, 2026), filed 2026-06-08</w:t>
            </w:r>
          </w:p>
        </w:tc>
        <w:tc>
          <w:tcPr>
            <w:tcW w:type="dxa" w:w="5184"/>
          </w:tcPr>
          <w:p>
            <w:r>
              <w:t>N-CSR 2026-06-08 accession 0001213900-26-066324 https://www.sec.gov/Archives/edgar/data/1735964/000121390026066324/ea0291746-01_ncsr.htm</w:t>
            </w:r>
          </w:p>
        </w:tc>
      </w:tr>
      <w:tr>
        <w:tc>
          <w:tcPr>
            <w:tcW w:type="dxa" w:w="720"/>
          </w:tcPr>
          <w:p>
            <w:r>
              <w:t>3.6</w:t>
            </w:r>
          </w:p>
        </w:tc>
        <w:tc>
          <w:tcPr>
            <w:tcW w:type="dxa" w:w="3456"/>
          </w:tcPr>
          <w:p>
            <w:r>
              <w:t>N-CSR 2026-06-08 (FY ended 3/31/2026)</w:t>
            </w:r>
          </w:p>
        </w:tc>
        <w:tc>
          <w:tcPr>
            <w:tcW w:type="dxa" w:w="5184"/>
          </w:tcPr>
          <w:p>
            <w:r>
              <w:t>N-CSR 2026-06-08 accession 0001213900-26-066324 https://www.sec.gov/Archives/edgar/data/1735964/000121390026066324/ea0291746-01_ncsr.htm</w:t>
            </w:r>
          </w:p>
        </w:tc>
      </w:tr>
      <w:tr>
        <w:tc>
          <w:tcPr>
            <w:tcW w:type="dxa" w:w="720"/>
          </w:tcPr>
          <w:p>
            <w:r>
              <w:t>3.7</w:t>
            </w:r>
          </w:p>
        </w:tc>
        <w:tc>
          <w:tcPr>
            <w:tcW w:type="dxa" w:w="3456"/>
          </w:tcPr>
          <w:p>
            <w:r>
              <w:t>plan records on file (Form 5500), read per plan by the liquidity match</w:t>
            </w:r>
          </w:p>
        </w:tc>
        <w:tc>
          <w:tcPr>
            <w:tcW w:type="dxa" w:w="5184"/>
          </w:tcPr>
          <w:p>
            <w:r>
              <w:t>accession not on record: no filing reference in the source field</w:t>
            </w:r>
          </w:p>
        </w:tc>
      </w:tr>
      <w:tr>
        <w:tc>
          <w:tcPr>
            <w:tcW w:type="dxa" w:w="720"/>
          </w:tcPr>
          <w:p>
            <w:r>
              <w:t>3.8</w:t>
            </w:r>
          </w:p>
        </w:tc>
        <w:tc>
          <w:tcPr>
            <w:tcW w:type="dxa" w:w="3456"/>
          </w:tcPr>
          <w:p>
            <w:r>
              <w:t>liquidity match artifacts (Cliffwater Corporate Lending Fund,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(Cliffwater Corporate Lending Fund, four reference plans)</w:t>
            </w:r>
          </w:p>
        </w:tc>
        <w:tc>
          <w:tcPr>
            <w:tcW w:type="dxa" w:w="5184"/>
          </w:tcPr>
          <w:p>
            <w:r>
              <w:t>accession not on record: no filing reference in the source field</w:t>
            </w:r>
          </w:p>
        </w:tc>
      </w:tr>
      <w:tr>
        <w:tc>
          <w:tcPr>
            <w:tcW w:type="dxa" w:w="720"/>
          </w:tcPr>
          <w:p>
            <w:r>
              <w:t>4.1</w:t>
            </w:r>
          </w:p>
        </w:tc>
        <w:tc>
          <w:tcPr>
            <w:tcW w:type="dxa" w:w="3456"/>
          </w:tcPr>
          <w:p>
            <w:r>
              <w:t>486BPOS prospectus dated July 29, 2025, filed 2025-07-29</w:t>
            </w:r>
          </w:p>
        </w:tc>
        <w:tc>
          <w:tcPr>
            <w:tcW w:type="dxa" w:w="5184"/>
          </w:tcPr>
          <w:p>
            <w:r>
              <w:t>486BPOS 2025-07-29 accession 0001213900-25-068706 https://www.sec.gov/Archives/edgar/data/1735964/000121390025068706/ea0248544-01_486bpos.htm</w:t>
            </w:r>
          </w:p>
        </w:tc>
      </w:tr>
      <w:tr>
        <w:tc>
          <w:tcPr>
            <w:tcW w:type="dxa" w:w="720"/>
          </w:tcPr>
          <w:p>
            <w:r>
              <w:t>4.2</w:t>
            </w:r>
          </w:p>
        </w:tc>
        <w:tc>
          <w:tcPr>
            <w:tcW w:type="dxa" w:w="3456"/>
          </w:tcPr>
          <w:p>
            <w:r>
              <w:t>N-CSR (annual report, fiscal year ended March 31, 2026), filed 2026-06-08</w:t>
            </w:r>
          </w:p>
        </w:tc>
        <w:tc>
          <w:tcPr>
            <w:tcW w:type="dxa" w:w="5184"/>
          </w:tcPr>
          <w:p>
            <w:r>
              <w:t>N-CSR 2026-06-08 accession 0001213900-26-066324 https://www.sec.gov/Archives/edgar/data/1735964/000121390026066324/ea0291746-01_ncsr.htm</w:t>
            </w:r>
          </w:p>
        </w:tc>
      </w:tr>
      <w:tr>
        <w:tc>
          <w:tcPr>
            <w:tcW w:type="dxa" w:w="720"/>
          </w:tcPr>
          <w:p>
            <w:r>
              <w:t>4.3</w:t>
            </w:r>
          </w:p>
        </w:tc>
        <w:tc>
          <w:tcPr>
            <w:tcW w:type="dxa" w:w="3456"/>
          </w:tcPr>
          <w:p>
            <w:r>
              <w:t>N-CSR (annual report, fiscal year ended March 31, 2026), filed 2026-06-08</w:t>
            </w:r>
          </w:p>
        </w:tc>
        <w:tc>
          <w:tcPr>
            <w:tcW w:type="dxa" w:w="5184"/>
          </w:tcPr>
          <w:p>
            <w:r>
              <w:t>N-CSR 2026-06-08 accession 0001213900-26-066324 https://www.sec.gov/Archives/edgar/data/1735964/000121390026066324/ea0291746-01_ncsr.htm</w:t>
            </w:r>
          </w:p>
        </w:tc>
      </w:tr>
      <w:tr>
        <w:tc>
          <w:tcPr>
            <w:tcW w:type="dxa" w:w="720"/>
          </w:tcPr>
          <w:p>
            <w:r>
              <w:t>4.4</w:t>
            </w:r>
          </w:p>
        </w:tc>
        <w:tc>
          <w:tcPr>
            <w:tcW w:type="dxa" w:w="3456"/>
          </w:tcPr>
          <w:p>
            <w:r>
              <w:t>N-CSR (annual report, fiscal year ended March 31, 2026), filed 2026-06-08</w:t>
            </w:r>
          </w:p>
        </w:tc>
        <w:tc>
          <w:tcPr>
            <w:tcW w:type="dxa" w:w="5184"/>
          </w:tcPr>
          <w:p>
            <w:r>
              <w:t>N-CSR 2026-06-08 accession 0001213900-26-066324 https://www.sec.gov/Archives/edgar/data/1735964/000121390026066324/ea0291746-01_ncsr.htm</w:t>
            </w:r>
          </w:p>
        </w:tc>
      </w:tr>
      <w:tr>
        <w:tc>
          <w:tcPr>
            <w:tcW w:type="dxa" w:w="720"/>
          </w:tcPr>
          <w:p>
            <w:r>
              <w:t>4.5</w:t>
            </w:r>
          </w:p>
        </w:tc>
        <w:tc>
          <w:tcPr>
            <w:tcW w:type="dxa" w:w="3456"/>
          </w:tcPr>
          <w:p>
            <w:r>
              <w:t>N-CSR 2026-06-08 (FY2026 annual report)</w:t>
            </w:r>
          </w:p>
        </w:tc>
        <w:tc>
          <w:tcPr>
            <w:tcW w:type="dxa" w:w="5184"/>
          </w:tcPr>
          <w:p>
            <w:r>
              <w:t>N-CSR 2026-06-08 accession 0001213900-26-066324 https://www.sec.gov/Archives/edgar/data/1735964/000121390026066324/ea0291746-01_ncsr.htm</w:t>
            </w:r>
          </w:p>
        </w:tc>
      </w:tr>
      <w:tr>
        <w:tc>
          <w:tcPr>
            <w:tcW w:type="dxa" w:w="720"/>
          </w:tcPr>
          <w:p>
            <w:r>
              <w:t>4.6</w:t>
            </w:r>
          </w:p>
        </w:tc>
        <w:tc>
          <w:tcPr>
            <w:tcW w:type="dxa" w:w="3456"/>
          </w:tcPr>
          <w:p>
            <w:r>
              <w:t>486BPOS prospectus dated July 29, 2025, filed 2025-07-29</w:t>
            </w:r>
          </w:p>
        </w:tc>
        <w:tc>
          <w:tcPr>
            <w:tcW w:type="dxa" w:w="5184"/>
          </w:tcPr>
          <w:p>
            <w:r>
              <w:t>486BPOS 2025-07-29 accession 0001213900-25-068706 https://www.sec.gov/Archives/edgar/data/1735964/000121390025068706/ea0248544-01_486bpos.htm</w:t>
            </w:r>
          </w:p>
        </w:tc>
      </w:tr>
      <w:tr>
        <w:tc>
          <w:tcPr>
            <w:tcW w:type="dxa" w:w="720"/>
          </w:tcPr>
          <w:p>
            <w:r>
              <w:t>4.8</w:t>
            </w:r>
          </w:p>
        </w:tc>
        <w:tc>
          <w:tcPr>
            <w:tcW w:type="dxa" w:w="3456"/>
          </w:tcPr>
          <w:p>
            <w:r>
              <w:t>N-CSR 2026-06-08 (FY ended 3/31/2026)</w:t>
            </w:r>
          </w:p>
        </w:tc>
        <w:tc>
          <w:tcPr>
            <w:tcW w:type="dxa" w:w="5184"/>
          </w:tcPr>
          <w:p>
            <w:r>
              <w:t>N-CSR 2026-06-08 accession 0001213900-26-066324 https://www.sec.gov/Archives/edgar/data/1735964/000121390026066324/ea0291746-01_ncsr.htm</w:t>
            </w:r>
          </w:p>
        </w:tc>
      </w:tr>
      <w:tr>
        <w:tc>
          <w:tcPr>
            <w:tcW w:type="dxa" w:w="720"/>
          </w:tcPr>
          <w:p>
            <w:r>
              <w:t>5.1</w:t>
            </w:r>
          </w:p>
        </w:tc>
        <w:tc>
          <w:tcPr>
            <w:tcW w:type="dxa" w:w="3456"/>
          </w:tcPr>
          <w:p>
            <w:r>
              <w:t>N-CSR 2026-06-08 (FY ended 3/31/2026)</w:t>
            </w:r>
          </w:p>
        </w:tc>
        <w:tc>
          <w:tcPr>
            <w:tcW w:type="dxa" w:w="5184"/>
          </w:tcPr>
          <w:p>
            <w:r>
              <w:t>N-CSR 2026-06-08 accession 0001213900-26-066324 https://www.sec.gov/Archives/edgar/data/1735964/000121390026066324/ea0291746-01_ncsr.htm</w:t>
            </w:r>
          </w:p>
        </w:tc>
      </w:tr>
      <w:tr>
        <w:tc>
          <w:tcPr>
            <w:tcW w:type="dxa" w:w="720"/>
          </w:tcPr>
          <w:p>
            <w:r>
              <w:t>5.3</w:t>
            </w:r>
          </w:p>
        </w:tc>
        <w:tc>
          <w:tcPr>
            <w:tcW w:type="dxa" w:w="3456"/>
          </w:tcPr>
          <w:p>
            <w:r>
              <w:t>benchmark selection artifact (Cliffwater Corporate Lending Fund)</w:t>
            </w:r>
          </w:p>
        </w:tc>
        <w:tc>
          <w:tcPr>
            <w:tcW w:type="dxa" w:w="5184"/>
          </w:tcPr>
          <w:p>
            <w:r>
              <w:t>accession not on record: no filing reference in the source field</w:t>
            </w:r>
          </w:p>
        </w:tc>
      </w:tr>
      <w:tr>
        <w:tc>
          <w:tcPr>
            <w:tcW w:type="dxa" w:w="720"/>
          </w:tcPr>
          <w:p>
            <w:r>
              <w:t>5.4</w:t>
            </w:r>
          </w:p>
        </w:tc>
        <w:tc>
          <w:tcPr>
            <w:tcW w:type="dxa" w:w="3456"/>
          </w:tcPr>
          <w:p>
            <w:r>
              <w:t>cohort artifact (private credit cohort)</w:t>
            </w:r>
          </w:p>
        </w:tc>
        <w:tc>
          <w:tcPr>
            <w:tcW w:type="dxa" w:w="5184"/>
          </w:tcPr>
          <w:p>
            <w:r>
              <w:t>accession not on record: no filing reference in the source field</w:t>
            </w:r>
          </w:p>
        </w:tc>
      </w:tr>
      <w:tr>
        <w:tc>
          <w:tcPr>
            <w:tcW w:type="dxa" w:w="720"/>
          </w:tcPr>
          <w:p>
            <w:r>
              <w:t>5.5</w:t>
            </w:r>
          </w:p>
        </w:tc>
        <w:tc>
          <w:tcPr>
            <w:tcW w:type="dxa" w:w="3456"/>
          </w:tcPr>
          <w:p>
            <w:r>
              <w:t>benchmark selection artifact (Cliffwater Corporate Lending Fund)</w:t>
            </w:r>
          </w:p>
        </w:tc>
        <w:tc>
          <w:tcPr>
            <w:tcW w:type="dxa" w:w="5184"/>
          </w:tcPr>
          <w:p>
            <w:r>
              <w:t>accession not on record: no filing reference in the source field</w:t>
            </w:r>
          </w:p>
        </w:tc>
      </w:tr>
      <w:tr>
        <w:tc>
          <w:tcPr>
            <w:tcW w:type="dxa" w:w="720"/>
          </w:tcPr>
          <w:p>
            <w:r>
              <w:t>5.6</w:t>
            </w:r>
          </w:p>
        </w:tc>
        <w:tc>
          <w:tcPr>
            <w:tcW w:type="dxa" w:w="3456"/>
          </w:tcPr>
          <w:p>
            <w:r>
              <w:t>benchmark selection artifact (Cliffwater Corporate Lending Fund)</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N-CSR (annual report, fiscal year ended March 31, 2026), filed 2026-06-08</w:t>
            </w:r>
          </w:p>
        </w:tc>
        <w:tc>
          <w:tcPr>
            <w:tcW w:type="dxa" w:w="5184"/>
          </w:tcPr>
          <w:p>
            <w:r>
              <w:t>N-CSR 2026-06-08 accession 0001213900-26-066324 https://www.sec.gov/Archives/edgar/data/1735964/000121390026066324/ea0291746-01_ncsr.htm</w:t>
            </w:r>
          </w:p>
        </w:tc>
      </w:tr>
      <w:tr>
        <w:tc>
          <w:tcPr>
            <w:tcW w:type="dxa" w:w="720"/>
          </w:tcPr>
          <w:p>
            <w:r>
              <w:t>6.2</w:t>
            </w:r>
          </w:p>
        </w:tc>
        <w:tc>
          <w:tcPr>
            <w:tcW w:type="dxa" w:w="3456"/>
          </w:tcPr>
          <w:p>
            <w:r>
              <w:t>486BPOS prospectus dated July 29, 2025, filed 2025-07-29</w:t>
            </w:r>
          </w:p>
        </w:tc>
        <w:tc>
          <w:tcPr>
            <w:tcW w:type="dxa" w:w="5184"/>
          </w:tcPr>
          <w:p>
            <w:r>
              <w:t>486BPOS 2025-07-29 accession 0001213900-25-068706 https://www.sec.gov/Archives/edgar/data/1735964/000121390025068706/ea0248544-01_486bpos.htm</w:t>
            </w:r>
          </w:p>
        </w:tc>
      </w:tr>
      <w:tr>
        <w:tc>
          <w:tcPr>
            <w:tcW w:type="dxa" w:w="720"/>
          </w:tcPr>
          <w:p>
            <w:r>
              <w:t>6.3</w:t>
            </w:r>
          </w:p>
        </w:tc>
        <w:tc>
          <w:tcPr>
            <w:tcW w:type="dxa" w:w="3456"/>
          </w:tcPr>
          <w:p>
            <w:r>
              <w:t>486BPOS prospectus/SAI dated July 29, 2025, filed 2025-07-29</w:t>
            </w:r>
          </w:p>
        </w:tc>
        <w:tc>
          <w:tcPr>
            <w:tcW w:type="dxa" w:w="5184"/>
          </w:tcPr>
          <w:p>
            <w:r>
              <w:t>486BPOS 2025-07-29 accession 0001213900-25-068706 https://www.sec.gov/Archives/edgar/data/1735964/000121390025068706/ea0248544-01_486bpos.htm</w:t>
            </w:r>
          </w:p>
        </w:tc>
      </w:tr>
      <w:tr>
        <w:tc>
          <w:tcPr>
            <w:tcW w:type="dxa" w:w="720"/>
          </w:tcPr>
          <w:p>
            <w:r>
              <w:t>6.4</w:t>
            </w:r>
          </w:p>
        </w:tc>
        <w:tc>
          <w:tcPr>
            <w:tcW w:type="dxa" w:w="3456"/>
          </w:tcPr>
          <w:p>
            <w:r>
              <w:t>486BPOS 2025-07-29 + N-CSR 2026-06-08 (form not named in either)</w:t>
            </w:r>
          </w:p>
        </w:tc>
        <w:tc>
          <w:tcPr>
            <w:tcW w:type="dxa" w:w="5184"/>
          </w:tcPr>
          <w:p>
            <w:r>
              <w:t>486BPOS 2025-07-29 accession 0001213900-25-068706 https://www.sec.gov/Archives/edgar/data/1735964/000121390025068706/ea0248544-01_486bpos.htm</w:t>
            </w:r>
          </w:p>
          <w:p>
            <w:r>
              <w:t>N-CSR 2026-06-08 accession 0001213900-26-066324 https://www.sec.gov/Archives/edgar/data/1735964/000121390026066324/ea0291746-01_ncsr.htm</w:t>
            </w:r>
          </w:p>
        </w:tc>
      </w:tr>
      <w:tr>
        <w:tc>
          <w:tcPr>
            <w:tcW w:type="dxa" w:w="720"/>
          </w:tcPr>
          <w:p>
            <w:r>
              <w:t>6.5</w:t>
            </w:r>
          </w:p>
        </w:tc>
        <w:tc>
          <w:tcPr>
            <w:tcW w:type="dxa" w:w="3456"/>
          </w:tcPr>
          <w:p>
            <w:r>
              <w:t>486BPOS prospectus dated July 29, 2025, filed 2025-07-29</w:t>
            </w:r>
          </w:p>
        </w:tc>
        <w:tc>
          <w:tcPr>
            <w:tcW w:type="dxa" w:w="5184"/>
          </w:tcPr>
          <w:p>
            <w:r>
              <w:t>486BPOS 2025-07-29 accession 0001213900-25-068706 https://www.sec.gov/Archives/edgar/data/1735964/000121390025068706/ea0248544-01_486bpos.htm</w:t>
            </w:r>
          </w:p>
        </w:tc>
      </w:tr>
    </w:tbl>
    <w:p>
      <w:r>
        <w:t>Data sources: SEC EDGAR filings (12 held for this product in the filing manifest, every row with its accession) and DOL EBSA Form 5500 data for the plan, shown under its anonymized label.</w:t>
      </w:r>
    </w:p>
    <w:p>
      <w:pPr>
        <w:pStyle w:val="Heading1"/>
      </w:pPr>
      <w:r>
        <w:t>Appendix: verbatim regulatory text</w:t>
      </w:r>
    </w:p>
    <w:p>
      <w:r>
        <w:t>verbatim Federal Register text is in this build. Federal Register document 2026-06178, fetched 2026-09-07T06:19:25+00:00, content hash aef7a94680824e5574780e1f614702189d9dafcf1fde58558ff3ac782d3dcd5a. Runs of whitespace inside a paragraph are collapsed to one space. Every paragraph below is the Federal Register text unchanged.</w:t>
      </w:r>
    </w:p>
    <w:p>
      <w:pPr>
        <w:pStyle w:val="Heading2"/>
      </w:pPr>
      <w:r>
        <w:t>Paragraph (g)</w:t>
      </w:r>
    </w:p>
    <w:p>
      <w:r>
        <w:t>(g) Performance. The plan fiduciary must appropriately consider a reasonable number of similar alternatives and determine that the risk-adjusted expected returns, over an appropriate time-horizon, of the designated investment alternative, net of anticipated fees and expenses, further the purposes of the plan by enabling participants and beneficiaries to maximize risk-adjusted returns on investment net of fees and expenses.</w:t>
      </w:r>
    </w:p>
    <w:p>
      <w:r>
        <w:t>(1) Example. Return— (i) Facts. The named fiduciary of a plan ( e.g., the plan sponsor or plan investment committee), working with a third-party investment advice fiduciary within the meaning of section 3(21)(A)(ii) of ERISA, considers three target date fund series. The investment advice fiduciary presents various risk measures for the named fiduciary to consider, including the Sharpe Ratio, a commonly used measure to assess risk-adjusted performance, and a risk-adjusted return measure that subtracts a risk penalty from returns. The investment advice fiduciary explains these concepts and their implications to the named fiduciary that then relies on this advice to select a target date fund series that has lower expected returns but lower expected risk, as measured by volatility. The named fiduciary makes this selection after considering the risk capacity of the plan's participants. The lower risk strategy that the named fiduciary selects has achieved higher risk-adjusted returns by including alternative assets with low correlations to stocks and bonds in its investment portfolio, thereby reducing the volatility of returns.</w:t>
      </w:r>
    </w:p>
    <w:p>
      <w:r>
        <w:t>(ii) Analysis. Plan fiduciaries, with the benefit of third-party investment advice when appropriate, need not select an investment with the highest returns, nor aim to achieve the highest possible returns. It is often prudent to select a lower-risk investment strategy with a lower expected return. Plan fiduciaries may wish to consider selecting investments that hold alternative assets with low correlations to stock and bonds in their portfolios for exactly this purpose of improving risk-adjusted returns.</w:t>
      </w:r>
    </w:p>
    <w:p>
      <w:r>
        <w:t>(iii) Conclusion. A plan fiduciary selecting a designated investment alternative should consider various risk metrics when evaluating investments. The plan fiduciary should seek to maximize returns, net of fees, for a given level of appropriate risk, consistent with the participants' likely needs over the course of the anticipated investment. By doing so, including by engaging and relying on third-party investment advice, as appropriate, to analyze and explain how to evaluate risk, the plan fiduciary shall be deemed to have satisfied the requirements of paragraph (g) of this section.</w:t>
      </w:r>
    </w:p>
    <w:p>
      <w:r>
        <w:t>(2) Example. Time horizon —(i) Facts. The named fiduciary of a plan ( e.g., the plan sponsor or plan investment committee) with a predominantly younger workforce, working with a third-party investment advice fiduciary within the meaning of section 3(21)(A)(ii) of ERISA, considers three target date fund series. The investment advice fiduciary analyzes the historical performance of each series over the past 1-, 3-, 5-, and 10-year periods. After considering the historical performance data for these periods, the named fiduciary adopts the investment advice fiduciary's recommendation to rely most heavily on the 10-year historical performance data as most probative for purposes of selecting the designated investment alternative.</w:t>
      </w:r>
    </w:p>
    <w:p>
      <w:r>
        <w:t>(ii) Analysis. A plan fiduciary, with the benefit of third-party investment advice fiduciaries, when appropriate, need not select an investment strategy with the highest returns during a short or most recent period of time. Given the long-term nature of retirement savings, it is often prudent to give greater weight to the long-term historical performance of possible designed investment alternatives over short-term performance.</w:t>
      </w:r>
    </w:p>
    <w:p>
      <w:r>
        <w:t>(iii) Conclusion. A plan fiduciary selecting a designated investment alternative should consider the appropriate time horizons for retirement savings. In so doing, the plan fiduciary should seek to maximize returns for a given level of appropriate risk, consistent with the participants' likely needs over the course of the anticipated investment, which, because of the long-term nature of retirement savings, may be a long time horizon, depending on the particular facts and circumstances. By doing so, including by engaging and relying on third-party investment advice, when appropriate, to analyze and explain how to evaluate past performance, the plan fiduciary shall be deemed to have satisfied the requirements of paragraph (g) of this section.</w:t>
      </w:r>
    </w:p>
    <w:p>
      <w:pPr>
        <w:pStyle w:val="Heading2"/>
      </w:pPr>
      <w:r>
        <w:t>Paragraph (h)</w:t>
      </w:r>
    </w:p>
    <w:p>
      <w:r>
        <w:t>(h) Fees. The plan fiduciary must consider a reasonable number of similar alternatives and determine that the fees and expenses of the designated investment alternative are appropriate, taking into account its risk-adjusted expected returns and any other value the designated investment alternative brings to furthering the purposes of the plan. For this purpose, the term “value” includes any benefits, features, or services other than risk-adjusted returns. Section 404(a)(1)(B) of ERISA and paragraph (h) of this section are not violated solely because the fiduciary does not select the alternative with the lowest fees and expenses from among the alternatives considered. For example, a prudent plan fiduciary could choose to pay more in exchange for greater services.</w:t>
      </w:r>
    </w:p>
    <w:p>
      <w:r>
        <w:t>(1) Example. Fees; Customer service —(i) Facts. The named fiduciary of a plan ( e.g., the plan sponsor or plan investment committee) considers five stock funds that follow similar strategies in passively tracking the same index. The named fiduciary evaluates the funds with the assistance of a third-party investment advice fiduciary within the meaning of section 3(21)(A)(ii) of ERISA and finds that the five funds have had similar historical risk-adjusted returns and liquidity, and that the funds have very different ratings for customer service and communication. The named fiduciary selects the fund with the highest fees and highest rating for customer service and communication. This fund offers knowledgeably staffed call centers dedicated to retirement plan investors, short wait times, clearly written investor communications, safe and easy online access for participants, and published surveys and ratings that demonstrate an exceptional commitment to customer service. The difference between the funds with lowest and highest fees is one quarter of one basis point.</w:t>
      </w:r>
    </w:p>
    <w:p>
      <w:r>
        <w:t>(ii) Analysis. A plan fiduciary must consider a reasonable number of similar alternatives before selecting a designated investment alternative. Although the determination of what constitutes a reasonable number is dependent upon the specific facts and circumstances of each case, section 404(a)(1)(B) of ERISA and paragraph (h) of this section do not require a plan fiduciary to consider every similar alternative available in the market. Likewise, whether alternatives are similar is dependent on the specific facts and circumstances of each case. After considering a reasonable number of similar alternatives, a plan fiduciary must determine that the fees and expenses of the designated investment alternative are appropriate, taking into account its expected risk-adjusted returns and the value the designated investment alternative brings in furthering the purposes of the plan. All else being equal, a plan fiduciary must rely on the value proposition of a designated investment alternative with higher fees and expenses than similar alternatives with lower fees and expenses when choosing that designated investment alternative.</w:t>
      </w:r>
    </w:p>
    <w:p>
      <w:r>
        <w:t>(iii) Conclusion. The named fiduciary in this example does not fail to satisfy section 404(a)(1)(B) of ERISA and paragraph (h) of this section solely because it did not select the alternative with the lowest fees and expenses. The named fiduciary enlisted the services of an investment advice fiduciary within the meaning of section 3(21)(A)(ii) of ERISA. The named fiduciary considered and determined that the five specific alternatives were a reasonable number of alternatives to have considered, taking into account the role of the designated investment alternative in furthering the purposes of the plan, their similar strategies, historical performance, and liquidity. In addition, the named fiduciary considered and determined that the higher fees and expenses are appropriate considering the value of increased customer service and communication.</w:t>
      </w:r>
    </w:p>
    <w:p>
      <w:r>
        <w:t>(2) Example. Fees; Share classes —(i) Facts. A plan sponsor decides to establish a participant-directed defined contribution plan. The plan document specifies that the director of human resources is the named fiduciary of the plan and responsible for the establishment of the plan investment menu and selection and monitoring of designated investment alternatives. The named fiduciary does not enlist the services of an investment advice fiduciary within the meaning of section 3(21)(A)(ii) of ERISA, an investment manager within the meaning of section 3(38) of ERISA, or any other type of professional consultant. The named fiduciary purchases a subscription to an independent analysis ratings firm to research investment options before making a selection. The service rates funds overall but does not attach ratings to different share classes of the same fund. After a few years, the named fiduciary decides to replace one of the plan's designated investment alternatives with a new fund, and to move participant investments from the old designated investment alternative to the new fund pursuant to ERISA section 404(c)(4). The new fund selected by the named fiduciary has high ratings from the service to which the named fiduciary subscribes and is a registered investment company within the meaning of the Investment Company Act of 1940. The named fiduciary makes a substantial investment in class R2 shares of the fund. The named fiduciary does not consider any differences in share classes offered by this fund. The fund offers multiple share classes, including multiple R share classes. Class R2 shares have substantially higher fees than class R6 shares. Based on the amount of the investment, the named fiduciary could have purchased class R6 shares without any negotiation or additional expenditure of plan assets or resources. Except for fee structures, both share classes are identical in terms of shareholder rights and obligations.</w:t>
      </w:r>
    </w:p>
    <w:p>
      <w:r>
        <w:t>(ii) Analysis. A fiduciary must consider a reasonable number of similar alternatives and determine that the fees and expenses of the designated investment alternative are appropriate, taking into account the designated investment alternative's risk-adjusted expected returns and any other value the designated investment alternative brings to furthering the purposes of the plan. The named fiduciary failed to give any consideration to the differences in fees between the various share classes of the fund, even though the size of the investment met the fund's criteria for the lower fee share classes without any negotiation or additional expenditure of plan assets or resources. Class R6 shares have a superior value proposition to class R2 shares because both share classes are identical in all respects except that class R6 shares have lower fees.</w:t>
      </w:r>
    </w:p>
    <w:p>
      <w:r>
        <w:t>(iii) Conclusion. The facts in this example do not establish that the named fiduciary satisfied section 404(a)(1)(B) of ERISA and paragraph (h) of this section when selecting the designated investment alternative. The selection process appears to be flawed because the named fiduciary failed to consider the difference in fee structures among the various share classes. A prudent selection process would ordinarily uncover the existence of more economical share class options for the plan.</w:t>
      </w:r>
    </w:p>
    <w:p>
      <w:r>
        <w:t>(3) Example. Fees; Lifetime income —(i) Facts. A plan sponsor makes a plan design decision to add a lifetime income benefit to its existing participant-directed individual account plan. The named fiduciary of the plan selects an asset allocation fund offered through a variable annuity contract to implement the plan sponsor's decision. The new designated investment alternative is similar in all material respects—risk, return, liquidity, and allocation profile—to another designated investment alternative already on the plan investment menu except that the designated investment alternative already on the plan investment menu does not offer lifetime income through a variable annuity contract. The two designated investment alternatives have the same expense ratio, but the designated investment alternative offered through the variable annuity contract has an additional fee associated with the ability of participants to select the lifetime income feature. The additional fee typically secures more favorable annuity conversion rates throughout the life of the contract than would be available outside of the contract. The named fiduciary consults with an investment advice fiduciary within the meaning of section 3(21)(A)(ii) of ERISA. The investment advice fiduciary analyzes the annuity market generally, as well as the break-even ages and additional fee of the designated investment alternative, which analysis the named fiduciary critically evaluates and adopts in determining, within its discretion, that the designated investment alternative with the lifetime income benefit provides commensurate value for the fees charged.</w:t>
      </w:r>
    </w:p>
    <w:p>
      <w:r>
        <w:t>(ii) Analysis. The named fiduciary must act prudently when implementing the plan sponsor's decision to add a lifetime income benefit to the plan. Although the named fiduciary must appropriately consider a reasonable number of similar alternatives, the designated investment alternative already on the plan investment menu satisfies this standard because it is both sufficiently different from the designated investment alternative being added to the plan investment menu due to its lifetime income benefit feature and sufficiently comparable because it is identical in each other material respect. The lifetime income feature has added value to the plan and therefore justifies higher total fees than the designated investment alternative without this feature.</w:t>
      </w:r>
    </w:p>
    <w:p>
      <w:r>
        <w:t>(iii) Conclusion. The named fiduciary in this example did not act imprudently by adding the new designated investment alternative to the plan investment menu solely because it has higher fees than the similar designated investment alternative without the lifetime income benefit feature that is already on the plan investment menu. To satisfy the consideration and determination requirements under paragraph (h) of this section, and section 404(a)(1)(B) of ERISA, the named fiduciary considered and determined that the additional fee under the variable annuity contract is appropriate in relation to the value it brings to furthering the purposes of the plan.</w:t>
      </w:r>
    </w:p>
    <w:p>
      <w:r>
        <w:t>(4) Example. Fees; Risk mitigation strategies —(i) Facts. A participant-directed defined contribution plan contains a custom-designed designated investment alternative that is a qualified default investment alternative (target date fund), managed by an investment manager within the meaning of ERISA section 3(38), with a strategy that targets specific percentages of stocks and bonds that trade on public exchanges. As part of a review of the plan's investment menu, the named fiduciary with responsibility for selecting the qualified default investment alternative considers the investment manager's proposed modification of the designated investment alternative's strategy to target investment in specific percentages of hedge funds and private equity funds while reducing target percentages of publicly traded stocks and bonds. The purpose of the modification is risk mitigation—meaning, to decrease volatility and reduce the risk of large losses during a market downturn. Under certain market conditions, a potential consequence is the designated investment alternative may underperform as compared to the continued use of the unmodified strategy, but it provides downside protection as an additional value. The named fiduciary enlists the services of a third-party investment advice fiduciary within the meaning of section 3(21)(A)(ii) of ERISA to analyze the new target percentages and the hedge fund and private equity funds for investment by the designated investment alternative, as well as detailed information about the investment strategies and fee structures of these funds. The third-party investment advice fiduciary also provides the named fiduciary with a written report stochastically modeling estimated risk-adjusted returns stemming from the adoption of the modifications and comparing the target date fund, as modified, to a reasonable number of similar alternatives. Although the designated investment alternative's expense ratio would increase slightly, the report shows an improvement in the risk-adjusted expected returns, net of fees, over a horizon determined to be appropriate for the target date fund.</w:t>
      </w:r>
    </w:p>
    <w:p>
      <w:r>
        <w:t>(ii) Analysis. In this example, the named fiduciary is not making an original selection of a designated investment alternative. Yet because the change in strategy proposed by the investment manager implicates the principal objectives of the target date fund, implementing the described modification is tantamount to selecting a designated investment alternative from scratch. Consequently, the named fiduciary must consider a reasonable number of similar alternatives to the target date fund, as modified, and determine that its fees and expenses are appropriate, taking into account its risk-adjusted expected returns and any other value it brings to furthering the purposes of the plan. That the target date fund is customized does not negate the requirement to appropriately consider a reasonable number of similar alternatives. Whether the alternatives considered are similar depends on the facts and circumstances of the case. Factors commonly used by investment professionals in like circumstances include risk, return, liquidity, and allocation profile.</w:t>
      </w:r>
    </w:p>
    <w:p>
      <w:r>
        <w:t>(iii) Conclusion. The named fiduciary in this example satisfies the consideration and determination requirements of paragraph (h) of this section, and section 404(a)(1)(B) of ERISA, with respect to the fees and expenses of the target date fund as modified. The named fiduciary enlisted the services of an investment advice fiduciary. The investment advice fiduciary provided the named fiduciary with a written report stochastically modeling estimated risk-adjusted returns stemming from the adoption of the modifications and comparing the target date fund, as modified, to a reasonable number of similar alternatives. The named fiduciary considered and determined within its discretion that the modification to the target date fund to include the risk mitigation strategy furthered the purposes of the plan, including decreasing volatility and reducing the risk of large losses during a market downturn. In addition, the named fiduciary considered and determined, within its discretion, that the higher expense ratio associated with the modification was appropriate in light of the estimated higher risk-adjusted expected returns, net of fees and expenses, over an appropriate horizon for the target date fund.</w:t>
      </w:r>
    </w:p>
    <w:p>
      <w:r>
        <w:t>(5) Example. Fees; Active management —(i) Facts. The named fiduciary of a plan ( e.g., the plan sponsor or plan investment committee) considers six small-cap stock funds. Three of the funds passively track the same index while three of the funds are actively managed, attempting to outperform the passive index. The passive funds are all comparably priced to each other, and the actively managed funds are comparably priced to each other. However, the actively managed funds all have higher fees and expenses than the passive funds. The named fiduciary evaluates the funds with the assistance of a third-party investment advice fiduciary within the meaning of section 3(21)(A)(ii) of ERISA and finds that one of the passive funds has had lower tracking error and fees compared to the other two passive funds and one of the actively managed funds has had outstanding historical risk-adjusted returns compared to all of the passive funds as well as the other two actively managed funds, despite the other two actively managed funds having adopted a similar investment strategy. The named fiduciary selects both the highest performing actively managed fund as well as the passive fund with lowest tracking error and fees based on advice from the third-party investment advice fiduciary that allowing participants to gain exposure to actively managed and passive funds will increase their risk-adjusted return on investment net of the additional fees charged by the actively managed fund.</w:t>
      </w:r>
    </w:p>
    <w:p>
      <w:r>
        <w:t>(ii) Analysis. The named fiduciary must consider a reasonable number of similar alternatives to the funds it selects, and determine that their fees and expenses are appropriate, taking into account their risk-adjusted expected returns and any other value they bring to furthering the purposes of the plan. A plan fiduciary may choose to offer both an actively managed and a passive fund within a particular strategy to secure diversification benefits for participants across the plan investment menu. In so doing, the plan fiduciary may conclude that the value of these diversification benefits justifies the selection of an actively managed fund that charges higher fees than a passive counterpart.</w:t>
      </w:r>
    </w:p>
    <w:p>
      <w:r>
        <w:t>(iii) Conclusion. The named fiduciary in this example satisfies the consideration and determination requirements of paragraph (h) of this section, and section 404(a)(1)(B) of ERISA, with respect to the fees and expenses of both funds. The named fiduciary enlisted the services of an investment advice fiduciary. The investment advice fiduciary fully compared and analyzed the profiles of the actively managed and passive funds. The investment advice fiduciary also provided the named fiduciary with professional advice about the benefits of diversified portfolios. The named fiduciary considered and determined, within its discretion, that selecting the highest performing actively managed and passive funds furthered the purposes of the plan by increasing risk-adjusted return through the increased value of additional diversification.</w:t>
      </w:r>
    </w:p>
    <w:p>
      <w:pPr>
        <w:pStyle w:val="Heading2"/>
      </w:pPr>
      <w:r>
        <w:t>Paragraph (i)</w:t>
      </w:r>
    </w:p>
    <w:p>
      <w:r>
        <w:t>(i) Liquidity. The fiduciary must appropriately consider and determine that the designated investment alternative will have sufficient liquidity to meet the anticipated needs of the plan at both the plan and individual levels. For example, because participant-directed individual account plans are long-term retirement savings vehicles, particularly for participants early in their careers, there is no requirement that a fiduciary select only fully liquid products. Indeed, a prudent fiduciary process may regularly lead to a decision to sacrifice some plan- or individual-level liquidity, or both, in pursuit of additional risk-adjusted return.</w:t>
      </w:r>
    </w:p>
    <w:p>
      <w:r>
        <w:t>(1) Example. Participant-level liquidity —(i) Facts. Certain participant-level events, depending on the terms of the plan, may trigger a plan's need for immediate liquidity. Examples of these events include, but are not limited to, participant benefit withdrawals due to retirement, separation from service, or financial hardship, asset reallocations or reinvestments to other designated investment alternatives in the case of plans intended to meet the requirements of section 404(c) of ERISA, and plan loans.</w:t>
      </w:r>
    </w:p>
    <w:p>
      <w:r>
        <w:t>(ii) Analysis. Plan fiduciaries must give consideration to the potential for such events when selecting designated investment alternatives, especially qualified default investment alternatives (as defined in 29 CFR 2550.404c-5), for a plan investment menu. Further, on the basis of such consideration, the plan fiduciary must determine that the designated investment alternative, at the time of selection, will have sufficient liquidity to meet the anticipated liquidity needs of the plan.</w:t>
      </w:r>
    </w:p>
    <w:p>
      <w:r>
        <w:t>(iii) Conclusion. The participant-level liquidity needs of a given plan depend on the type of plan at issue, its features, and the overall profile of the participants and beneficiaries of the plan as a whole, particularly with respect to a qualified default investment alternative (as defined in 29 CFR 2550.404c-5), as well as, to the extent they are different, the participants and beneficiaries likely to select the particular designated investment alternative under review. A plan fiduciary, however, is deemed to have met the consideration and determination requirements of paragraph (i) of this section, and section 404(a)(1)(B) of ERISA, with respect to the participant-level liquidity needs of a given plan in connection with a given designated investment alternative (including one that holds a percentage of assets that are not securities, non-publicly traded securities, or securities acquired in exempt offerings) that is a mutual fund registered as an open-end management investment company with the U.S. Securities and Exchange Commission under the Investment Company Act of 1940. Such mutual funds are required by rules under such Act to adopt and implement a written liquidity risk management program that is designed to assess and manage their liquidity risk. In the case of a designated investment alternative that is not such a mutual fund, a plan fiduciary will be deemed to have met the consideration and determination requirements of paragraph (i) of this section and section 404(a)(1)(B) of ERISA if three conditions are met. First, the fiduciary obtains a written representation from the person responsible for managing the designated investment alternative, or otherwise performs appropriate due diligence, that the designated investment alternative has adopted and implemented a liquidity risk management program that is substantially similar to a program that meets the requirements of such Act.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(2) Example. Participant level liquidity; lifetime income —(i) Facts. The investment policy statement of a participant-directed individual account plan calls for lifetime income options on the plan investment menu. The named fiduciary selects several designated investment alternatives with such features, including a deferred annuity contract. Allocations to this contract, which are made on a monthly basis, grow at a rate specified under the contract, and monthly payments for life begin when the participant reaches age 65. Allocations to this contract become fully committed after 90 days and any immediate withdrawals by a participant before age 65 result in a penalty and a market value adjustment to the value of the annuity that begins at age 65. The restrictions on liquidity throughout the growth period enable greater monthly payments at age 65.</w:t>
      </w:r>
    </w:p>
    <w:p>
      <w:r>
        <w:t>(ii) Analysis. Paragraph (i) of this section clarifies that plan fiduciaries must appropriately consider the potential participant-level events that may trigger a plan's need for immediate liquidity, and must determine that the designated investment alternative, at the time of selection, will have sufficient liquidity to meet the anticipated liquidity needs of the plan. When assessing the liquidity needs of the plan, the plan fiduciary in this example must balance the restrictions on liquidity under the annuity contract with the value of the guaranteed monthly payments under the annuity contract, recognizing that such guarantees help plan participants manage investment and longevity risk. The fact that a designated investment alternative is fully allocated to an illiquid product, like an annuity, does not foreclose its selection, including, for example, where the fiduciary determines within its discretion that the lack of liquidity is justified by a commensurate expected increase in return on investment, certainty with respect to future payments, or both.</w:t>
      </w:r>
    </w:p>
    <w:p>
      <w:r>
        <w:t>(iii) Conclusion. In this example, the named fiduciary would satisfy the consideration and determination requirements of paragraph (i) of this section, and section 404(a)(1)(B) of ERISA, with respect to the designated investment alternative in question if the named fiduciary concluded that the increase in the value of the monthly payments and the certainty of the insurer's guarantee under the annuity contract justified the restrictions on liquidity.</w:t>
      </w:r>
    </w:p>
    <w:p>
      <w:r>
        <w:t>(3) Example. Plan-level liquidity —(i) Facts. Plan terminations, changes in plan recordkeepers or investment providers, and corporate sponsor mergers and acquisitions are examples of circumstances that may impose relatively short-term liquidity demands on a plan's designated investment alternatives. This is especially true in the case of a designated investment alternative (such as a pooled investment vehicle) with a strategy involving a target position in certain private assets along with public assets ( e.g., publicly traded securities). With such designated investment alternatives, a specific plan's (or, in a pooled investment product, other plan's or non-plan investors') need for relatively short-term liquidity ( e.g., when the investor wants to exit the investment) may present significant liquidity risk to the designated investment alternative as a whole such that it cannot maintain its asset allocation targets. Thus, in such circumstances, designated investment alternatives may or must impose temporal restrictions on redemptions ( e.g., they might require advance notice and permit only incremental redemptions over a period of time). When fulfilling withdrawals, particularly large withdrawals, diversified designated investment alternatives may temporarily deviate from their target asset allocations. For example, a designated investment alternative that is designed to have a 90 percent allocation to fully liquid instruments may have to temporarily accept a lower allocation to fully liquid instruments to satisfy a large withdrawal.</w:t>
      </w:r>
    </w:p>
    <w:p>
      <w:r>
        <w:t>(ii) Analysis. Plan fiduciaries must give consideration to, and determine, that the scope and duration of redemption restrictions at the plan level meet the anticipated needs of the plan. This includes whether the designated investment alternative has a sufficient process in place to balance the plan's potential need for withdrawal against the plan's desire for the designated investment alternative to maintain smooth and consistent target positions, including following a significant withdrawal of investors other than the plan.</w:t>
      </w:r>
    </w:p>
    <w:p>
      <w:r>
        <w:t>(iii) Conclusion. A plan fiduciary is deemed to have met the consideration and determination requirements of paragraph (i) of this section, and section 404(a)(1)(B) of ERISA, with respect to the plan-level liquidity needs of a given plan in connection with a given designated investment alternative (including one that holds a percentage of assets that are not securities, non-publicly traded securities, or securities acquired in exempt offerings) in either of the two following scenarios.</w:t>
      </w:r>
    </w:p>
    <w:p>
      <w:r>
        <w:t>(A) In the first scenario, the plan fiduciary evaluates, including, if appropriate, with the advice of a third-party investment advice fiduciary within the meaning of section 3(21)(A)(ii) of ERISA, in concert, the maximum that the designated investment alternative will allocate to illiquid investments, the time until such investments could likely be sold without reducing their value, the time until such investments will return capital to their investors, and the required advance notice plans must give before exiting the designated investment alternative. After this evaluation, the plan fiduciary concludes that the designated investment alternative will appropriately balance the future liquidity needs of the plan, the ability of the designated investment alternative to achieve increased risk-adjusted return on investment, and the ability to maintain its asset allocation targets even if there were redemptions from multiple plans or non-plan investors.</w:t>
      </w:r>
    </w:p>
    <w:p>
      <w:r>
        <w:t>(B) In the second scenario, the plan fiduciary relies on the fact that the designated investment alternative is a mutual fund registered as an open-end management investment company with the SEC under the Investment Company Act of 1940, which is required by rules under such Act to adopt and implement a written liquidity risk management program that is designed to assess and manage their liquidity risk. If the designated investment alternative is not such a fund, the fiduciary must meet three conditions. First, the fiduciary obtains a written representation from the person responsible for managing the designated investment alternative, or otherwise performs appropriate due diligence, that the designated investment alternative has adopted and implemented a liquidity risk management program that is substantially similar to a program that meets the liquidity risk management requirements under such Act.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(4) Example. Participant and plan-level liquidity —(i) Facts. A participant-directed individual account plan offers a designated investment alternative that is a pooled investment vehicle with an investment strategy involving target positions in particular types of assets, including holdings in private assets. According to written representations from the person responsible for managing the product, it is structured so that the timing of the product's ability to liquidate private-asset investments aligns generally with the redemption rights of plans investing in the product. Representations also are made that the product permits quarterly redemptions by investors and does not otherwise impose any specific limits or restrictions on timing or payment of redemptions. For individual participants, representations are made to the plan fiduciary that the designated investment alternative has adopted and implemented a liquidity risk-management program that imposes requirements substantially similar to the requirements related to liquidity risk management programs for mutual funds registered as open-end management investment companies with the SEC under the Investment Company Act of 1940. The fiduciary reads, critically reviews, and understands the written representations and consults a third-party investment advice fiduciary within the meaning of section 3(21)(A)(ii) of ERISA. The fiduciary does not know, or have reason to know, other information which would cause the fiduciary to question the written representations.</w:t>
      </w:r>
    </w:p>
    <w:p>
      <w:r>
        <w:t>(ii) Analysis. The example in paragraph (i)(1) of this section clarifies that plan fiduciaries must appropriately consider the potential participant-level events that may trigger a plan's need for immediate liquidity, and must determine that the designated investment alternative, at the time of selection, will have sufficient liquidity to meet the anticipated liquidity needs of the plan. Similarly, the example in paragraph (i)(3) of this section clarifies that plan fiduciaries must appropriately consider, and determine, that the scope and duration of redemption restrictions at the plan level meet the anticipated needs of the plan.</w:t>
      </w:r>
    </w:p>
    <w:p>
      <w:r>
        <w:t>(iii) Conclusion. A plan fiduciary is deemed to have met the consideration and determination requirements of paragraph (i) of this section, and section 404(a)(1)(B) of ERISA, with respect to the participant-level and plan-level liquidity needs of a given plan in connection with a given designated investment alternative when the fiduciary determines within its discretion that the redemption structures under the product are appropriate to the needs of the plan after giving due consideration, including, where applicable, with the benefit of analysis of professional advisors, to the specific needs of the plan, including its need to maximize risk-adjusted return on investment.</w:t>
      </w:r>
    </w:p>
    <w:p>
      <w:pPr>
        <w:pStyle w:val="Heading2"/>
      </w:pPr>
      <w:r>
        <w:t>Paragraph (j)</w:t>
      </w:r>
    </w:p>
    <w:p>
      <w:r>
        <w:t>(j) Valuation. The fiduciary must appropriately consider and determine that the designated investment alternative has adopted adequate measures to ensure that the designated investment alternative is capable of being timely and accurately valued in accordance with the needs of the plan.</w:t>
      </w:r>
    </w:p>
    <w:p>
      <w:r>
        <w:t>(1) Example. Valuation; Public exchanges —(i) Facts. A participant-directed individual account plan offers a designated investment alternative that allows participants to acquire shares of a mutual fund registered as an open-end management investment company with the SEC under the Investment Company Act. Except for necessary cash reserves for operating expenses, all the underlying investments of the designated investment alternative trade daily on a public exchange. The exchange is a national securities exchange which is regulated under section 6 of the Securities Exchange Act of 1934.</w:t>
      </w:r>
    </w:p>
    <w:p>
      <w:r>
        <w:t>(ii) Analysis. For purposes of determining the prudence of an investment, plan fiduciaries may rely on asset valuations derived from a national securities exchange or another similar, public exchange to the extent the exchange constitutes a generally recognized market through which the value of the investment is readily and accurately determinable in a timely manner.</w:t>
      </w:r>
    </w:p>
    <w:p>
      <w:r>
        <w:t>(iii) Conclusion. The plan fiduciary is deemed to have met the consideration and determination requirements of paragraph (j) of this section, and section 404(a)(1)(B) of ERISA, with respect to this designated investment alternative, provided that the alternative's organizational documents or prospectus indicate that its value is determined in all material respects by reference to the price of the security as reflected on the exchange at the time of the valuation.</w:t>
      </w:r>
    </w:p>
    <w:p>
      <w:r>
        <w:t>(2 ) Example. Valuation; FASB 820 —(i) Facts. A participant-directed individual account plan offers a designated investment alternative that invests in some securities that trade daily on a public exchange and some securities for which there is not a generally recognized market. The manager of the designated investment alternative represents in writing that the securities for which there is not a generally recognized market are valued through a conflict-free, independent process no less frequently than quarterly, according to procedures that satisfy the Financial Accounting Standards Board Accounting Standards Codification 820, titled Fair Value Measurements (or any successor standard). The current value of each share of the designated investment alternative is then communicated in writing to the named fiduciary of the plan.</w:t>
      </w:r>
    </w:p>
    <w:p>
      <w:r>
        <w:t>(ii) Analysis. For purposes of determining the prudence of an investment, plan fiduciaries may rely on asset valuations that result from the application of generally recognized procedures for measuring the fair value of assets for purposes of disclosure in financial statements prepared in accordance with U.S. generally accepted accounting principles, if applied through a conflict-free, independent process with respect to acquisition, disposition, or management of the assets.</w:t>
      </w:r>
    </w:p>
    <w:p>
      <w:r>
        <w:t>(iii) Conclusion. The named fiduciary of this plan is deemed to have met the consideration and determination requirements of paragraph (j) of this section, and section 404(a)(1)(B) of ERISA, with respect to this designated investment alternative under the following scenario. First, the named fiduciary reads, critically reviews, and understands the written representation, or otherwise performs appropriate due diligence on the valuation process, and consults a qualified professional where appropriate. Second, the named fiduciary does not know, or have reason to know, other information which would cause the named fiduciary to question any written representation. This conclusion would not change solely because the designated investment alternative permits its manager, acting in good faith, to adopt alternative valuation procedures if the manager determines and documents a temporary emergency that could result in a negative impact on investors if the generally applicable valuation procedures are followed ( e.g., if investors would be able to redeem their interests based on a valuation that the manager believes is inflated and that would result in a significant harm to remaining investors).</w:t>
      </w:r>
    </w:p>
    <w:p>
      <w:r>
        <w:t>(3) Example. Valuation; SEC rules —(i) Facts. A participant-directed individual account plan offers a designated investment alternative that is a mutual fund registered as an open-end management investment company with the SEC under the Investment Company Act of 1940 and that contains some securities that trade daily on a public exchange and some securities for which there is not a generally recognized market. Under the Investment Company Act and rules thereunder, among other things, mutual funds are required to have audited financial statements prepared in accordance with generally accepted accounting principles. These audited financial statements include an auditor's report. The fiduciary reviews the fund's publicly-available financial statements and valuation-related disclosures to confirm compliance with all applicable requirements under the Investment Company Act related to pricing and valuation of its shares, or otherwise performs appropriate due diligence. The fiduciary also reviews the fund's Form N-1A prospectus disclosures to confirm that a majority of the fund's board is independent.</w:t>
      </w:r>
    </w:p>
    <w:p>
      <w:r>
        <w:t>(ii) Analysis. For purposes of determining the prudence of an investment that is governed by the Investment Company Act, plan fiduciaries may rely on asset valuations that result from the application of reasonable valuation procedures adopted to comply with the Investment Company Act and rules thereunder.</w:t>
      </w:r>
    </w:p>
    <w:p>
      <w:r>
        <w:t>(iii) Conclusion. The plan fiduciary of this plan is deemed to have met the consideration and determination requirements of paragraph (j) of this section, and section 404(a)(1)(B) of ERISA, with respect to this designated investment alternative under the following scenario. First, the fiduciary reads the fund's publicly available audited financial statements and valuation-related disclosures, or otherwise performs appropriate due diligence on the valuation process, and consults a qualified professional as appropriate. Second, the fiduciary does not know, or have reason to know, other information which would cause the fiduciary to question the veracity of the audited financial statements.</w:t>
      </w:r>
    </w:p>
    <w:p>
      <w:r>
        <w:t>(4) Example. Valuation; Conflicts of interest —(i) Facts. The plan document for a participant-directed individual account plan specifies that the plan sponsor's chief financial officer is the named fiduciary of the plan and responsible for the establishment of the plan investment menu and selection and monitoring of designated investment alternatives. The named fiduciary selects as a designated investment alternative (or part of a broader investment alternative) a continuation fund (Fund) managed or controlled by an entity (Manager) that has recently acquired or contemplates an imminent acquisition of assets from an investment vehicle, such as another fund or vehicle with alternative assets, that is managed or controlled by the Manager or an affiliate of the Manager. The assets that were or will be purchased for the Fund from the investment vehicle do not trade on a public exchange and lack readily observable market prices, and the Manager was or will be able to control or influence—directly or indirectly—the price or other material terms on which the assets are transferred to the Fund. The Manager represents to the named fiduciary that valuation of the purchased assets is based on application of its proprietary valuation methods that rely on inputs provided by the Manager or its affiliates.</w:t>
      </w:r>
    </w:p>
    <w:p>
      <w:r>
        <w:t>(ii) Analysis. The named fiduciary must assess whether the assets have been or will be valued through a conflict-free and independent process. When a designated investment alternative is a continuation fund that has recently acquired or contemplates an imminent acquisition of assets in a transaction that may be materially and adversely affected by a significant conflict of interest, the fiduciary must determine that the conflict of interest has not and will not render the designated investment alternative's valuation inaccurate. The facts do not demonstrate that the fiduciary can make this determination.</w:t>
      </w:r>
    </w:p>
    <w:p>
      <w:r>
        <w:t>(iii) Conclusion. The facts in this example do not establish that the named fiduciary satisfied section 404(a)(1)(B) of ERISA and paragraph (j) of this section when selecting the designated investment alternative.</w:t>
      </w:r>
    </w:p>
    <w:p>
      <w:pPr>
        <w:pStyle w:val="Heading2"/>
      </w:pPr>
      <w:r>
        <w:t>Paragraph (k)</w:t>
      </w:r>
    </w:p>
    <w:p>
      <w:r>
        <w:t>(k) Performance benchmark. The plan fiduciary must appropriately consider and determine that each designated investment alternative has a meaningful benchmark, and compare the risk-adjusted expected returns of the designated investment alternative to the meaningful benchmark. There may be more than one meaningful benchmark for a designated investment alternative, however no single benchmark is a meaningful benchmark for all designated investment alternatives on a plan investment menu. A “meaningful benchmark” is an investment, strategy, index, or other comparator that has similar mandates, strategies, objectives, and risks to the designated investment alternative. The “risk-adjusted expected returns” of the designated investment alternative may be determined based on its historical performance unless it has none, in which case it may be determined based on the historical performance of a different investment with similar mandates, strategies, objectives, and risks and that is not the meaningful benchmark. While a plan fiduciary should identify benchmarks that are as meaningful as possible, there is no presumption or preference against new or innovative designated investment alternative designs. Instead, when considering a new or innovative product design, a fiduciary should seek to identify the best possible comparators to it while also scrutinizing the potential value proposition presented by the new or innovative design.</w:t>
      </w:r>
    </w:p>
    <w:p>
      <w:r>
        <w:t>(1) Example. Benchmark; Misalignment of strategies —(i) Facts. A participant-directed individual account plan offers a designated investment alternative that is a target date fund with an investment strategy and long-term objective of investing in different asset classes with varying degrees of risk, and which gradually becomes more conservative over time by adjusting the mix of asset classes. To compare the risk-adjusted expected returns of the target date fund to a meaningful benchmark, the named fiduciary compares the returns to a benchmark that is an index that only tracks the returns of large capitalization U.S. equities even though other benchmarks with more similarities to the designated investment alternative were readily available.</w:t>
      </w:r>
    </w:p>
    <w:p>
      <w:r>
        <w:t>(ii) Analysis. Paragraph (k) of this section provides that a “meaningful benchmark” is an investment, strategy, index, or other comparator that has similar mandates, strategies, objectives, and risks to the designated investment alternative.</w:t>
      </w:r>
    </w:p>
    <w:p>
      <w:r>
        <w:t>(iii) Conclusion. The facts in this example do not establish that the named fiduciary satisfied section 404(a)(1)(B) of ERISA and paragraph (k) of this section when selecting the designated investment alternative because the strategies of the benchmark are not similar to the investment strategy of the target-date fund and other benchmarks with more similarities were readily available.</w:t>
      </w:r>
    </w:p>
    <w:p>
      <w:r>
        <w:t>(2) Example. Custom composite benchmark; Private equity sleeve —(i) Facts. The named fiduciary of a participant-directed individual account plan selects as a designated investment alternative an asset allocation fund, which is registered under the Investment Company Act of 1940, that contains a private equity sleeve in addition to publicly traded stocks and bonds. In making this selection, the named fiduciary prudently enlists the assistance of an investment advice fiduciary within the meaning of section 3(21)(A)(ii) of ERISA. The investment advice fiduciary, who has no affiliation with the asset allocation fund, recommends the designated investment after creating a composite benchmark against which to measure risk-adjusted expected returns of the sleeves of the designated investment alternative. For the publicly traded stock and bond sleeves, the composite benchmark blends the performance of broad-based securities market indices reflective of and in proportion to the stock and bond holdings of the designated investment alternative. For the private equity sleeve, the investment advice fiduciary uses a combination of methodologies commonly used by investment professionals, including the internal rate of return method and a public market equivalent method, and presents these measures with explanations of how to interpret them to monitor the designated investment alternative's performance over time. The investment advice fiduciary also provides the named fiduciary with a written explanation of the composite benchmark. The named fiduciary reads, critically reviews, and understands the written explanation, and does not know, or have reason to know, other information which would cause the named fiduciary to question the written explanation.</w:t>
      </w:r>
    </w:p>
    <w:p>
      <w:r>
        <w:t>(ii) Analysis. The named fiduciary must ensure that its decision is based on a meaningful benchmark. In determining whether a particular benchmark is a meaningful benchmark, a named fiduciary may rely on a benchmark created by a prudently selected investment advice fiduciary that is independent of the manager of the designated investment alternative. A named fiduciary need not be more expert in benchmark construction and analytics than the investment advice expert hired by the named fiduciary to assist in the selection process.</w:t>
      </w:r>
    </w:p>
    <w:p>
      <w:r>
        <w:t>(iii) Conclusion. The named fiduciary in this example satisfies this paragraph (k) and ERISA section 404(a)(1)(B) by considering and determining that the designated investment alternative has a meaningful benchmark and comparing the risk-adjusted expected returns of the designated investment alternative to the meaningful benchmark. The composite benchmark reflects the strategies and proportions of the underlying assets of the designated investment alternative. The named fiduciary read, critically reviewed, and understood the investment advice fiduciary's explanation of the composite benchmark.</w:t>
      </w:r>
    </w:p>
    <w:p>
      <w:r>
        <w:t>(3) Example. Custom composite benchmark; Public securities —(i) Facts. The named fiduciary for a participant-directed individual account plan selects a target date fund as a designated investment alternative. The target date fund holds only publicly traded stocks and bonds. As part of the selection process, the fiduciary appropriately considers whether a particular custom composite benchmark is a meaningful benchmark. The custom composite benchmark is a blend of broad-based securities market indices. The blend represents the asset allocation used to implement the target date fund's strategy. The named fiduciary reads, critically reviews and understands the benchmark description and determines that the custom composite benchmark is a meaningful benchmark. The named fiduciary compares the historical performance of the target date fund to the historical returns of the custom composite benchmark as a means of evaluating the risk-adjusted expected returns of the target date fund.</w:t>
      </w:r>
    </w:p>
    <w:p>
      <w:r>
        <w:t>(ii) Analysis. In determining whether a particular benchmark is a meaningful benchmark with respect to a designated investment alternative, plan fiduciaries may rely on benchmarks that blend multiple broad-based securities market indices to represent the asset allocation used to implement the target date fund's strategy. Plan fiduciaries should review and understand the benchmark description or consult with an investment professional, as appropriate. The custom composite benchmark described in this example is meaningful because it reflects a similar strategy as the designated investment alternative. The custom composite benchmark can reveal whether the fund has outperformed or underperformed the benchmark in each asset class, providing valuable information to the plan fiduciary about the fund's investment selection decisions.</w:t>
      </w:r>
    </w:p>
    <w:p>
      <w:r>
        <w:t>(iii) Conclusion. The plan fiduciary in this example satisfies this paragraph (k) and ERISA section 404(a)(1)(B) by considering and determining within its discretion that the designated investment alternative has a meaningful benchmark and comparing the risk-adjusted expected returns of the designated investment alternative to the meaningful benchmark.</w:t>
      </w:r>
    </w:p>
    <w:p>
      <w:pPr>
        <w:pStyle w:val="Heading2"/>
      </w:pPr>
      <w:r>
        <w:t>Paragraph (l)</w:t>
      </w:r>
    </w:p>
    <w:p>
      <w:r>
        <w:t>(l) Complexity. The plan fiduciary must appropriately consider the complexity of the designated investment alternative and determine that it has the skills, knowledge, experience, and capacity to comprehend it sufficiently to discharge its obligations under ERISA and the governing plan documents or whether it must seek assistance from a qualified investment advice fiduciary, investment manager, or other individual.</w:t>
      </w:r>
    </w:p>
    <w:p>
      <w:r>
        <w:t>(1) Example. Complexity; Fees —(i) Facts. A participant-directed individual account plan offers a designated investment alternative that is a pooled investment vehicle with an investment strategy involving target positions in particular types of assets, which includes holdings of private assets. The private assets in the designated investment alternative are varied and use sophisticated and variable fee-based incentive structures to drive performance, including management fees and performance fees which include carried interest rights.</w:t>
      </w:r>
    </w:p>
    <w:p>
      <w:r>
        <w:t>(ii) Analysis. As described in more detail in paragraph (h), the fiduciary must determine that the fees and expenses of the designated investment alternative are appropriate, taking into account the designated investment alternative's risk-adjusted expected returns and any other value the designated investment alternative brings to furthering the purposes of the plan. In order to make this determination, the plan fiduciary must comprehend the fees that will be charged to the plan and determine, within its discretion, that such fees are appropriate given the value proposition offered by the designated investment alternative.</w:t>
      </w:r>
    </w:p>
    <w:p>
      <w:r>
        <w:t>(iii) Conclusion. A plan fiduciary is deemed to have met the comprehension requirements of paragraph (l) of this section, and section 404(a)(1)(B) of ERISA, with respect to the complexity of a designated investment alternative's fee structure in either of the two following scenarios.</w:t>
      </w:r>
    </w:p>
    <w:p>
      <w:r>
        <w:t>(A) In the first scenario, the plan fiduciary conducts relevant due diligence to understand each fee that the plan may pay, and, in so doing, critically evaluates and determines, including, if appropriate, with the advice of a third-party investment advice fiduciary within the meaning of section 3(21)(A)(ii) of ERISA, the average total expected rate of the designated investment alternative's fees, when fees will be paid, and how they will be determined. After this evaluation, the plan fiduciary determines (1) that the fee structure will deliver increased value by incentivizing performance which will, in turn, increase expected risk-adjusted return on investment and (2) that this increase outweighs the variability or potential unpredictability of the amount and timing of the fees.</w:t>
      </w:r>
    </w:p>
    <w:p>
      <w:r>
        <w:t>(B) In the second scenario, three conditions are met. First, the fiduciary obtains a written representation from the person responsible for managing the designated investment alternative, or otherwise performs adequate due diligence to confirm, that none of the underlying fees will be passed through to the plan, and that, instead, the plan will pay an appropriate, flat, AUM-based fee, to the person responsible for managing the designated investment alternative, who will then internalize the underlying fees.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(2) Example. Complexity; Participant needs —(i) Facts. The plan document for a participant-directed individual account plan specifies that the plan sponsor's chief financial officer is the named fiduciary of the plan and responsible for the establishment of the plan investment menu and selection and monitoring of designated investment alternatives. The named fiduciary does not enlist the services of an investment advice fiduciary within the meaning of section 3(21)(A)(ii) of ERISA, an investment manager within the meaning of section 3(38) of ERISA, or any other type of professional consultant. The named fiduciary adds a managed account service to create a customized portfolio tailored to each participant's unique financial circumstances as the plan's qualified default investment alternative. But, because the named fiduciary does not understand the design of the managed account service, the named fiduciary provides only the age of each participant to the managed account service, instead of providing, or allowing the participants to provide, information about the participants' unique financial circumstances. Based on each participant's age, the managed account service creates a portfolio for each participant that is materially similar in terms of strategies, historical performance, and liquidity to the portfolio that each participant would have been exposed to in the plan's target date fund—another designated investment alternative in the plan. The target date fund has substantially lower fees than the managed account service.</w:t>
      </w:r>
    </w:p>
    <w:p>
      <w:r>
        <w:t>(ii) Analysis. A plan fiduciary must, including with the help of professional investment advisers like third-party investment advice fiduciaries within the meaning of section 3(21)(A)(ii) of ERISA, when appropriate, determine that it has the skills, knowledge, experience, and capacity to understand each designated investment alternative sufficiently to discharge its obligations under ERISA and the governing plan documents.</w:t>
      </w:r>
    </w:p>
    <w:p>
      <w:r>
        <w:t>(iii) Conclusion. The facts in this example do not establish that the named fiduciary satisfied section 404(a)(1)(B) of ERISA and paragraph (l) of this section in selecting the management account service as a designated investment alternative. The selection and implementation process appears to be flawed because the named fiduciary failed to comprehend the features, values, and fees of the designated investment alternative. After an appropriate due diligence process, a plan fiduciary would ordinarily be expected to understand how a designated investment alternative functions and delivers value to plan participants and operationalize it accordingly.</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