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Committee packet</w:t>
      </w:r>
    </w:p>
    <w:p>
      <w:r>
        <w:rPr>
          <w:b/>
        </w:rPr>
        <w:t>Plan: US media/technology company 401(k) plan (~$570M, New York)</w:t>
        <w:br/>
      </w:r>
      <w:r>
        <w:t>Product: Starwood Real Estate Income Trust, Inc. (non-traded REIT ('34 Act reporting), CIK 1711929)</w:t>
        <w:br/>
      </w:r>
      <w:r>
        <w:t>Record as of 2026-09-04. DRAFT, generated by the build from the record. The decision memo for the same plan and product is a separate document.</w:t>
      </w:r>
    </w:p>
    <w:p>
      <w:pPr>
        <w:pStyle w:val="Heading1"/>
      </w:pPr>
      <w:r>
        <w:t>Summary</w:t>
      </w:r>
    </w:p>
    <w:p>
      <w:r>
        <w:t>Structural liquidity verdict: MISALIGNED (typed facts, plan-independent). Scenario verdict under this plan (ILLUSTRATIVE, default sliders): MISALIGNED.</w:t>
      </w:r>
    </w:p>
    <w:p>
      <w:r>
        <w:t>Meaningful benchmark (paragraph (k)): NCREIF Fund Index - ODCE (private core RE) at 9/12, no comparison computed (cited, series not in the record: no comparison computed).</w:t>
      </w:r>
    </w:p>
    <w:p>
      <w:r>
        <w:t>Reference comparison, not the meaningful benchmark: Listed REIT investable proxy (VNQ), KS-PME 0.9453, Direct Alpha -5.47%/yr over 2024-12-31 to 2025-12-31.</w:t>
      </w:r>
    </w:p>
    <w:p>
      <w:r>
        <w:t>Peer comparison (paragraphs (g) and (h)): composite refused, fewer than 3 peers remain after leaving Starwood Real Estate Income Trust, Inc. out (2: Blackstone Real Estate Income Trust Inc, JLL Income Property Trust, Inc.).</w:t>
      </w:r>
    </w:p>
    <w:p>
      <w:r>
        <w:t>Flags raised by the record (each restates a typed value or verdict, with its source):</w:t>
      </w:r>
    </w:p>
    <w:p>
      <w:pPr>
        <w:pStyle w:val="ListBullet"/>
      </w:pPr>
      <w:r>
        <w:t>Benchmark: the meaningful benchmark carries no computed comparison (cited, series not in the record: no comparison computed) (benchmark selection)</w:t>
      </w:r>
    </w:p>
    <w:p>
      <w:pPr>
        <w:pStyle w:val="ListBullet"/>
      </w:pPr>
      <w:r>
        <w:t>Benchmark: low confidence: 1-year window, shorter than 3 years (benchmark comparison)</w:t>
      </w:r>
    </w:p>
    <w:p>
      <w:pPr>
        <w:pStyle w:val="ListBullet"/>
      </w:pPr>
      <w:r>
        <w:t>Peer comparison: composite refused, fewer than 3 peers remain after leaving Starwood Real Estate Income Trust, Inc. out (2: Blackstone Real Estate Income Trust Inc, JLL Income Property Trust, Inc.) (cell 1.12)</w:t>
      </w:r>
    </w:p>
    <w:p>
      <w:pPr>
        <w:pStyle w:val="ListBullet"/>
      </w:pPr>
      <w:r>
        <w:t>Liquidity: repurchase program suspended (cells 3.1, 3.3)</w:t>
      </w:r>
    </w:p>
    <w:p>
      <w:pPr>
        <w:pStyle w:val="ListBullet"/>
      </w:pPr>
      <w:r>
        <w:t>Liquidity: gating precedent, repurchases prorated under stress (cell 3.3)</w:t>
      </w:r>
    </w:p>
    <w:p>
      <w:pPr>
        <w:pStyle w:val="ListBullet"/>
      </w:pPr>
      <w:r>
        <w:t>Liquidity: ILLUSTRATIVE scenario verdict misaligned under this plan (the filed outflow proxy or the stressed demand above wrapper capacity)</w:t>
      </w:r>
    </w:p>
    <w:p>
      <w:r>
        <w:t>Evidence coverage: 42 of 42 resolvable, 0 verified, 13 n/a by wrapper. Verified by a person: 0. Advisor-stated inputs for this plan: 0 of 6.</w:t>
      </w:r>
    </w:p>
    <w:p>
      <w:r>
        <w:t>The committee makes the decision on this record. This packet does not decide.</w:t>
      </w:r>
    </w:p>
    <w:p>
      <w:pPr>
        <w:pStyle w:val="Heading1"/>
      </w:pPr>
      <w:r>
        <w:t>Exhibit A. Benchmark selection and rejection ledger</w:t>
      </w:r>
    </w:p>
    <w:p>
      <w:r>
        <w:t>Tark benchmark rubric, 12 points, threshold 7 of 12, strategy gate, affiliated providers ineligible. Max attainable by an eligible candidate on held data 9/12.</w:t>
      </w:r>
    </w:p>
    <w:tbl>
      <w:tblPr>
        <w:tblStyle w:val="TableGrid"/>
        <w:tblW w:type="auto" w:w="0"/>
        <w:tblLook w:firstColumn="1" w:firstRow="1" w:lastColumn="0" w:lastRow="0" w:noHBand="0" w:noVBand="1" w:val="04A0"/>
      </w:tblPr>
      <w:tblGrid>
        <w:gridCol w:w="2340"/>
        <w:gridCol w:w="2340"/>
        <w:gridCol w:w="2340"/>
        <w:gridCol w:w="2340"/>
      </w:tblGrid>
      <w:tr>
        <w:tc>
          <w:tcPr>
            <w:tcW w:type="dxa" w:w="1152"/>
          </w:tcPr>
          <w:p>
            <w:r>
              <w:t>Slot</w:t>
            </w:r>
          </w:p>
        </w:tc>
        <w:tc>
          <w:tcPr>
            <w:tcW w:type="dxa" w:w="3456"/>
          </w:tcPr>
          <w:p>
            <w:r>
              <w:t>Candidate</w:t>
            </w:r>
          </w:p>
        </w:tc>
        <w:tc>
          <w:tcPr>
            <w:tcW w:type="dxa" w:w="864"/>
          </w:tcPr>
          <w:p>
            <w:r>
              <w:t>Score</w:t>
            </w:r>
          </w:p>
        </w:tc>
        <w:tc>
          <w:tcPr>
            <w:tcW w:type="dxa" w:w="3888"/>
          </w:tcPr>
          <w:p>
            <w:r>
              <w:t>Outcome</w:t>
            </w:r>
          </w:p>
        </w:tc>
      </w:tr>
      <w:tr>
        <w:tc>
          <w:tcPr>
            <w:tcW w:type="dxa" w:w="1152"/>
          </w:tcPr>
          <w:p>
            <w:r>
              <w:t>Meaningful benchmark (paragraph (k))</w:t>
            </w:r>
          </w:p>
        </w:tc>
        <w:tc>
          <w:tcPr>
            <w:tcW w:type="dxa" w:w="3456"/>
          </w:tcPr>
          <w:p>
            <w:r>
              <w:t>NCREIF Fund Index - ODCE (private core RE)</w:t>
            </w:r>
          </w:p>
        </w:tc>
        <w:tc>
          <w:tcPr>
            <w:tcW w:type="dxa" w:w="864"/>
          </w:tcPr>
          <w:p>
            <w:r>
              <w:t>9/12</w:t>
            </w:r>
          </w:p>
        </w:tc>
        <w:tc>
          <w:tcPr>
            <w:tcW w:type="dxa" w:w="3888"/>
          </w:tcPr>
          <w:p>
            <w:r>
              <w:t>selected, no comparison computed: cited, series not in the record: no comparison computed</w:t>
            </w:r>
          </w:p>
        </w:tc>
      </w:tr>
      <w:tr>
        <w:tc>
          <w:tcPr>
            <w:tcW w:type="dxa" w:w="1152"/>
          </w:tcPr>
          <w:p>
            <w:r>
              <w:t>reference, not the benchmark</w:t>
            </w:r>
          </w:p>
        </w:tc>
        <w:tc>
          <w:tcPr>
            <w:tcW w:type="dxa" w:w="3456"/>
          </w:tcPr>
          <w:p>
            <w:r>
              <w:t>Listed REIT investable proxy (VNQ)</w:t>
            </w:r>
          </w:p>
        </w:tc>
        <w:tc>
          <w:tcPr>
            <w:tcW w:type="dxa" w:w="864"/>
          </w:tcPr>
          <w:p>
            <w:r>
              <w:t>8/12</w:t>
            </w:r>
          </w:p>
        </w:tc>
        <w:tc>
          <w:tcPr>
            <w:tcW w:type="dxa" w:w="3888"/>
          </w:tcPr>
          <w:p>
            <w:r>
              <w:t>KS-PME 0.9453, Direct Alpha -5.47%/yr, 2024-12-31 to 2025-12-31</w:t>
            </w:r>
          </w:p>
        </w:tc>
      </w:tr>
      <w:tr>
        <w:tc>
          <w:tcPr>
            <w:tcW w:type="dxa" w:w="1152"/>
          </w:tcPr>
          <w:p>
            <w:r>
              <w:t>Peer comparison (paragraphs (g) and (h))</w:t>
            </w:r>
          </w:p>
        </w:tc>
        <w:tc>
          <w:tcPr>
            <w:tcW w:type="dxa" w:w="3456"/>
          </w:tcPr>
          <w:p>
            <w:r>
              <w:t>Peer composite, non-traded real estate cohort without Starwood Real Estate Income Trust, Inc.</w:t>
            </w:r>
          </w:p>
        </w:tc>
        <w:tc>
          <w:tcPr>
            <w:tcW w:type="dxa" w:w="864"/>
          </w:tcPr>
          <w:p>
            <w:r>
              <w:t>not scored</w:t>
            </w:r>
          </w:p>
        </w:tc>
        <w:tc>
          <w:tcPr>
            <w:tcW w:type="dxa" w:w="3888"/>
          </w:tcPr>
          <w:p>
            <w:r>
              <w:t>composite refused: fewer than 3 peers remain after leaving Starwood Real Estate Income Trust, Inc. out (2: Blackstone Real Estate Income Trust Inc, JLL Income Property Trust, Inc.)</w:t>
            </w:r>
          </w:p>
        </w:tc>
      </w:tr>
      <w:tr>
        <w:tc>
          <w:tcPr>
            <w:tcW w:type="dxa" w:w="1152"/>
          </w:tcPr>
          <w:p>
            <w:r>
              <w:t>rejected</w:t>
            </w:r>
          </w:p>
        </w:tc>
        <w:tc>
          <w:tcPr>
            <w:tcW w:type="dxa" w:w="3456"/>
          </w:tcPr>
          <w:p>
            <w:r>
              <w:t>Listed REIT investable proxy (VNQ)</w:t>
            </w:r>
          </w:p>
        </w:tc>
        <w:tc>
          <w:tcPr>
            <w:tcW w:type="dxa" w:w="864"/>
          </w:tcPr>
          <w:p>
            <w:r>
              <w:t>8/12</w:t>
            </w:r>
          </w:p>
        </w:tc>
        <w:tc>
          <w:tcPr>
            <w:tcW w:type="dxa" w:w="3888"/>
          </w:tcPr>
          <w:p>
            <w:r>
              <w:t>ranked below the selected candidate: 8/12 vs 9/12 for NFI-ODCE</w:t>
            </w:r>
          </w:p>
        </w:tc>
      </w:tr>
    </w:tbl>
    <w:p>
      <w:pPr>
        <w:pStyle w:val="Heading1"/>
      </w:pPr>
      <w:r>
        <w:t>Exhibit B. Liquidity match for this plan</w:t>
      </w:r>
    </w:p>
    <w:p>
      <w:r>
        <w:t>Plan: US media/technology company 401(k) plan (~$570M, New York). verdict is structural (typed facts, cells 3.1, 3.3, 2.7, plan-independent). scenario_verdict is ILLUSTRATIVE (the plan's filed outflow proxy as the base demand and the sliders as the stress, against the same capacity, per plan).</w:t>
      </w:r>
    </w:p>
    <w:p>
      <w:pPr>
        <w:pStyle w:val="Heading2"/>
      </w:pPr>
      <w:r>
        <w:t>Structural verdict (typed facts, plan-independent)</w:t>
      </w:r>
    </w:p>
    <w:p>
      <w:r>
        <w:t>MISALIGNED</w:t>
      </w:r>
    </w:p>
    <w:p>
      <w:pPr>
        <w:pStyle w:val="ListBullet"/>
      </w:pPr>
      <w:r>
        <w:t>STRUCTURAL GAP: a participant-directed 404(c) menu assumes daily pricing and daily participant liquidity, whereas repurchases are suspended (cell 3.1). Direct DIA use requires a bridging structure: CIT sleeve, managed account, or TDF sleeve (cell 3.5).</w:t>
      </w:r>
    </w:p>
    <w:p>
      <w:pPr>
        <w:pStyle w:val="ListBullet"/>
      </w:pPr>
      <w:r>
        <w:t>Repurchase program suspended (cell 3.1): ordinary repurchase requests are not accepted, so participant liquidity depends on the program reopening. Capacity is 0%. Gating precedent on top (3.3).</w:t>
      </w:r>
    </w:p>
    <w:p>
      <w:pPr>
        <w:pStyle w:val="ListBullet"/>
      </w:pPr>
      <w:r>
        <w:t>Early repurchase economics: 5% if held &lt; 1 year (2.7). Relevant to participant-level churn (2.7).</w:t>
      </w:r>
    </w:p>
    <w:tbl>
      <w:tblPr>
        <w:tblStyle w:val="TableGrid"/>
        <w:tblW w:type="auto" w:w="0"/>
        <w:tblLook w:firstColumn="1" w:firstRow="1" w:lastColumn="0" w:lastRow="0" w:noHBand="0" w:noVBand="1" w:val="04A0"/>
      </w:tblPr>
      <w:tblGrid>
        <w:gridCol w:w="3120"/>
        <w:gridCol w:w="3120"/>
        <w:gridCol w:w="3120"/>
      </w:tblGrid>
      <w:tr>
        <w:tc>
          <w:tcPr>
            <w:tcW w:type="dxa" w:w="2448"/>
          </w:tcPr>
          <w:p>
            <w:r>
              <w:t>Wrapper fact</w:t>
            </w:r>
          </w:p>
        </w:tc>
        <w:tc>
          <w:tcPr>
            <w:tcW w:type="dxa" w:w="5760"/>
          </w:tcPr>
          <w:p>
            <w:r>
              <w:t>Value</w:t>
            </w:r>
          </w:p>
        </w:tc>
        <w:tc>
          <w:tcPr>
            <w:tcW w:type="dxa" w:w="1152"/>
          </w:tcPr>
          <w:p>
            <w:r>
              <w:t>Cell</w:t>
            </w:r>
          </w:p>
        </w:tc>
      </w:tr>
      <w:tr>
        <w:tc>
          <w:tcPr>
            <w:tcW w:type="dxa" w:w="2448"/>
          </w:tcPr>
          <w:p>
            <w:r>
              <w:t>Wrapper</w:t>
            </w:r>
          </w:p>
        </w:tc>
        <w:tc>
          <w:tcPr>
            <w:tcW w:type="dxa" w:w="5760"/>
          </w:tcPr>
          <w:p>
            <w:r>
              <w:t>non-traded REIT</w:t>
            </w:r>
          </w:p>
        </w:tc>
        <w:tc>
          <w:tcPr>
            <w:tcW w:type="dxa" w:w="1152"/>
          </w:tcPr>
          <w:p>
            <w:r>
              <w:t>6.1</w:t>
            </w:r>
          </w:p>
        </w:tc>
      </w:tr>
      <w:tr>
        <w:tc>
          <w:tcPr>
            <w:tcW w:type="dxa" w:w="2448"/>
          </w:tcPr>
          <w:p>
            <w:r>
              <w:t>Dealing terms</w:t>
            </w:r>
          </w:p>
        </w:tc>
        <w:tc>
          <w:tcPr>
            <w:tcW w:type="dxa" w:w="5760"/>
          </w:tcPr>
          <w:p>
            <w:r>
              <w:t>repurchases suspended since the April 29, 2026 amendment (3.1)</w:t>
            </w:r>
          </w:p>
        </w:tc>
        <w:tc>
          <w:tcPr>
            <w:tcW w:type="dxa" w:w="1152"/>
          </w:tcPr>
          <w:p>
            <w:r>
              <w:t>3.1</w:t>
            </w:r>
          </w:p>
        </w:tc>
      </w:tr>
      <w:tr>
        <w:tc>
          <w:tcPr>
            <w:tcW w:type="dxa" w:w="2448"/>
          </w:tcPr>
          <w:p>
            <w:r>
              <w:t>Repurchase caps</w:t>
            </w:r>
          </w:p>
        </w:tc>
        <w:tc>
          <w:tcPr>
            <w:tcW w:type="dxa" w:w="5760"/>
          </w:tcPr>
          <w:p>
            <w:r>
              <w:t>0% per month for ordinary requests (suspended), 0% per year</w:t>
            </w:r>
          </w:p>
        </w:tc>
        <w:tc>
          <w:tcPr>
            <w:tcW w:type="dxa" w:w="1152"/>
          </w:tcPr>
          <w:p>
            <w:r>
              <w:t>3.1</w:t>
            </w:r>
          </w:p>
        </w:tc>
      </w:tr>
      <w:tr>
        <w:tc>
          <w:tcPr>
            <w:tcW w:type="dxa" w:w="2448"/>
          </w:tcPr>
          <w:p>
            <w:r>
              <w:t>Annual capacity (binding cap)</w:t>
            </w:r>
          </w:p>
        </w:tc>
        <w:tc>
          <w:tcPr>
            <w:tcW w:type="dxa" w:w="5760"/>
          </w:tcPr>
          <w:p>
            <w:r>
              <w:t>0% of the position per year</w:t>
            </w:r>
          </w:p>
        </w:tc>
        <w:tc>
          <w:tcPr>
            <w:tcW w:type="dxa" w:w="1152"/>
          </w:tcPr>
          <w:p>
            <w:r>
              <w:t>3.1</w:t>
            </w:r>
          </w:p>
        </w:tc>
      </w:tr>
      <w:tr>
        <w:tc>
          <w:tcPr>
            <w:tcW w:type="dxa" w:w="2448"/>
          </w:tcPr>
          <w:p>
            <w:r>
              <w:t>Gating history</w:t>
            </w:r>
          </w:p>
        </w:tc>
        <w:tc>
          <w:tcPr>
            <w:tcW w:type="dxa" w:w="5760"/>
          </w:tcPr>
          <w:p>
            <w:r>
              <w:t>yes, prorated under stress</w:t>
            </w:r>
          </w:p>
        </w:tc>
        <w:tc>
          <w:tcPr>
            <w:tcW w:type="dxa" w:w="1152"/>
          </w:tcPr>
          <w:p>
            <w:r>
              <w:t>3.3</w:t>
            </w:r>
          </w:p>
        </w:tc>
      </w:tr>
      <w:tr>
        <w:tc>
          <w:tcPr>
            <w:tcW w:type="dxa" w:w="2448"/>
          </w:tcPr>
          <w:p>
            <w:r>
              <w:t>Repurchase program status</w:t>
            </w:r>
          </w:p>
        </w:tc>
        <w:tc>
          <w:tcPr>
            <w:tcW w:type="dxa" w:w="5760"/>
          </w:tcPr>
          <w:p>
            <w:r>
              <w:t>suspended</w:t>
            </w:r>
          </w:p>
        </w:tc>
        <w:tc>
          <w:tcPr>
            <w:tcW w:type="dxa" w:w="1152"/>
          </w:tcPr>
          <w:p>
            <w:r>
              <w:t>3.1</w:t>
            </w:r>
          </w:p>
        </w:tc>
      </w:tr>
      <w:tr>
        <w:tc>
          <w:tcPr>
            <w:tcW w:type="dxa" w:w="2448"/>
          </w:tcPr>
          <w:p>
            <w:r>
              <w:t>Early repurchase fee</w:t>
            </w:r>
          </w:p>
        </w:tc>
        <w:tc>
          <w:tcPr>
            <w:tcW w:type="dxa" w:w="5760"/>
          </w:tcPr>
          <w:p>
            <w:r>
              <w:t>5% if held &lt; 1 year (2.7)</w:t>
            </w:r>
          </w:p>
        </w:tc>
        <w:tc>
          <w:tcPr>
            <w:tcW w:type="dxa" w:w="1152"/>
          </w:tcPr>
          <w:p>
            <w:r>
              <w:t>2.7</w:t>
            </w:r>
          </w:p>
        </w:tc>
      </w:tr>
      <w:tr>
        <w:tc>
          <w:tcPr>
            <w:tcW w:type="dxa" w:w="2448"/>
          </w:tcPr>
          <w:p>
            <w:r>
              <w:t>Fund net assets (for the dollar capacity)</w:t>
            </w:r>
          </w:p>
        </w:tc>
        <w:tc>
          <w:tcPr>
            <w:tcW w:type="dxa" w:w="5760"/>
          </w:tcPr>
          <w:p>
            <w:r>
              <w:t>not typed: aggregate NAV not yet carried into a typed cell. Verification-queue item</w:t>
            </w:r>
          </w:p>
        </w:tc>
        <w:tc>
          <w:tcPr>
            <w:tcW w:type="dxa" w:w="1152"/>
          </w:tcPr>
          <w:p>
            <w:r>
              <w:t>1.1</w:t>
            </w:r>
          </w:p>
        </w:tc>
      </w:tr>
    </w:tbl>
    <w:p>
      <w:pPr>
        <w:pStyle w:val="Heading2"/>
      </w:pPr>
      <w:r>
        <w:t>Scenario (ILLUSTRATIVE, this plan)</w:t>
      </w:r>
    </w:p>
    <w:p>
      <w:r>
        <w:t>Plan inputs (Form 5500): net assets $565.8M, liquidity tail 36.1% of accounts (1,847 separated participants with balances), filed outflow proxy 11.7% of beginning net assets per year (Schedule H totals of the plan's Form 5500 for plan year 2024-01-01 to 2024-12-31, from the plan record: total expenses less administrative expenses over beginning net assets, an upper bound on benefit payments while Schedule H line 2e is not in the record).</w:t>
      </w:r>
    </w:p>
    <w:p>
      <w:r>
        <w:t>Base demand (filed outflow proxy applied to a 5% allocation = $28.3M): $3.3M/yr = 11.7% of the position per year vs annual wrapper capacity 0%.</w:t>
      </w:r>
    </w:p>
    <w:p>
      <w:r>
        <w:t>Slider assumption (adjustable on the site, not a fact): tail turnover 20%/yr, active turnover 5%/yr, 10.4% of the position per year = $2.9M/yr, shown beside the filed rate, not blended with it.</w:t>
      </w:r>
    </w:p>
    <w:p>
      <w:r>
        <w:t>Stressed (the filed outflow proxy plus the increment the sliders add under stress (tail turnover x2, active turnover x1.5 over the slider assumption)): demand $5.8M/yr = 20.5% of the position. EXCEEDS annual wrapper capacity (20.5% vs 0%). Unmet demand rolls into later windows (gating-equivalent outcome).</w:t>
      </w:r>
    </w:p>
    <w:p>
      <w:r>
        <w:t>Fund capacity in dollars: not computable, the fund's net assets are not typed in the record (aggregate NAV not yet carried into a typed cell. Verification-queue item), so the plan's dollar demand cannot be set against the fund's dollar capacity and the allocation slider is not shown.</w:t>
      </w:r>
    </w:p>
    <w:p>
      <w:r>
        <w:t>Scenario verdict (ILLUSTRATIVE, this plan): MISALIGNED.</w:t>
      </w:r>
    </w:p>
    <w:p>
      <w:pPr>
        <w:pStyle w:val="ListBullet"/>
      </w:pPr>
      <w:r>
        <w:t>Capacity: repurchases are suspended (cell 3.1): ordinary requests are not accepted. Capacity is 0% until the program reopens.</w:t>
      </w:r>
    </w:p>
    <w:p>
      <w:pPr>
        <w:pStyle w:val="ListBullet"/>
      </w:pPr>
      <w:r>
        <w:t>Filed outflow proxy (Schedule H, plan year 2024-01-01 to 2024-12-31): 11.7% of the position per year vs 0% annual wrapper capacity, the plan's total expenses less administrative expenses over beginning net assets, applied to the position. EXCEEDS: repurchases are closed, so every request waits for the program to reopen.</w:t>
      </w:r>
    </w:p>
    <w:p>
      <w:pPr>
        <w:pStyle w:val="ListBullet"/>
      </w:pPr>
      <w:r>
        <w:t>Slider assumption (illustrative): 10.4% of the position per year vs 0% annual wrapper capacity, from tail turnover 20%/yr on the 36.1% of accounts that are separated and active turnover 5%/yr on the rest. Shown beside the filed rate, not blended with it. EXCEEDS: repurchases are closed, so every request waits for the program to reopen.</w:t>
      </w:r>
    </w:p>
    <w:p>
      <w:pPr>
        <w:pStyle w:val="ListBullet"/>
      </w:pPr>
      <w:r>
        <w:t>Scenario verdict (ILLUSTRATIVE, this plan): misaligned. Misaligned when the filed outflow proxy exceeds the annual wrapper capacity, conditional-weak when the stressed demand exceeds it, conditional otherwise. It moves with the plan's filing and the sliders. Proration assumption: an oversubscribed offer is filled pro rata and the unfilled remainder waits for the next window.</w:t>
      </w:r>
    </w:p>
    <w:p>
      <w:pPr>
        <w:pStyle w:val="ListBullet"/>
      </w:pPr>
      <w:r>
        <w:t>Schedule H benefit-payment line 2e is not yet in the plan record. The filed outflow proxy (total expenses less administrative expenses over beginning net assets) stands in for it as the base demand, and the turnover sliders are the stress around it.</w:t>
      </w:r>
    </w:p>
    <w:p>
      <w:r>
        <w:t>Cited: cell 2.7, cell 3.1, cell 3.3, cell 3.7, plan: plan_tech_media.json (Form 5500, plan year 2024-01-01 to 2024-12-31).</w:t>
      </w:r>
    </w:p>
    <w:p>
      <w:pPr>
        <w:pStyle w:val="Heading1"/>
      </w:pPr>
      <w:r>
        <w:t>Exhibit C. Fees and terms, typed layer</w:t>
      </w:r>
    </w:p>
    <w:p>
      <w:r>
        <w:t>Each line is the typed fact that cites the cell, or the cell's status word when no fact is typed. Full text and provenance are in the record.</w:t>
      </w:r>
    </w:p>
    <w:tbl>
      <w:tblPr>
        <w:tblStyle w:val="TableGrid"/>
        <w:tblW w:type="auto" w:w="0"/>
        <w:tblLook w:firstColumn="1" w:firstRow="1" w:lastColumn="0" w:lastRow="0" w:noHBand="0" w:noVBand="1" w:val="04A0"/>
      </w:tblPr>
      <w:tblGrid>
        <w:gridCol w:w="3120"/>
        <w:gridCol w:w="3120"/>
        <w:gridCol w:w="3120"/>
      </w:tblGrid>
      <w:tr>
        <w:tc>
          <w:tcPr>
            <w:tcW w:type="dxa" w:w="2880"/>
          </w:tcPr>
          <w:p>
            <w:r>
              <w:t>Cell</w:t>
            </w:r>
          </w:p>
        </w:tc>
        <w:tc>
          <w:tcPr>
            <w:tcW w:type="dxa" w:w="3600"/>
          </w:tcPr>
          <w:p>
            <w:r>
              <w:t>Typed headline</w:t>
            </w:r>
          </w:p>
        </w:tc>
        <w:tc>
          <w:tcPr>
            <w:tcW w:type="dxa" w:w="2880"/>
          </w:tcPr>
          <w:p>
            <w:r>
              <w:t>Status</w:t>
            </w:r>
          </w:p>
        </w:tc>
      </w:tr>
      <w:tr>
        <w:tc>
          <w:tcPr>
            <w:tcW w:type="dxa" w:w="2880"/>
          </w:tcPr>
          <w:p>
            <w:r>
              <w:t>2.1 Management fee (rate AND base)</w:t>
            </w:r>
          </w:p>
        </w:tc>
        <w:tc>
          <w:tcPr>
            <w:tcW w:type="dxa" w:w="3600"/>
          </w:tcPr>
          <w:p>
            <w:r>
              <w:t>1.25% on NAV</w:t>
            </w:r>
          </w:p>
        </w:tc>
        <w:tc>
          <w:tcPr>
            <w:tcW w:type="dxa" w:w="2880"/>
          </w:tcPr>
          <w:p>
            <w:r>
              <w:t>extracted-unverified</w:t>
            </w:r>
          </w:p>
        </w:tc>
      </w:tr>
      <w:tr>
        <w:tc>
          <w:tcPr>
            <w:tcW w:type="dxa" w:w="2880"/>
          </w:tcPr>
          <w:p>
            <w:r>
              <w:t>2.2 Incentive fee terms</w:t>
            </w:r>
          </w:p>
        </w:tc>
        <w:tc>
          <w:tcPr>
            <w:tcW w:type="dxa" w:w="3600"/>
          </w:tcPr>
          <w:p>
            <w:r>
              <w:t>incentive fee: 12.5%</w:t>
            </w:r>
          </w:p>
        </w:tc>
        <w:tc>
          <w:tcPr>
            <w:tcW w:type="dxa" w:w="2880"/>
          </w:tcPr>
          <w:p>
            <w:r>
              <w:t>extracted-unverified</w:t>
            </w:r>
          </w:p>
        </w:tc>
      </w:tr>
      <w:tr>
        <w:tc>
          <w:tcPr>
            <w:tcW w:type="dxa" w:w="2880"/>
          </w:tcPr>
          <w:p>
            <w:r>
              <w:t>2.3 Total expense ratio &amp; waivers</w:t>
            </w:r>
          </w:p>
        </w:tc>
        <w:tc>
          <w:tcPr>
            <w:tcW w:type="dxa" w:w="3600"/>
          </w:tcPr>
          <w:p>
            <w:r>
              <w:t>not applicable, the record states why</w:t>
            </w:r>
          </w:p>
        </w:tc>
        <w:tc>
          <w:tcPr>
            <w:tcW w:type="dxa" w:w="2880"/>
          </w:tcPr>
          <w:p>
            <w:r>
              <w:t>n/a - not publicly available: no TER disclosure exists for a '34-Act non-traded REIT - zero hits for 'expense ratio' in the stripped FY2025 10-K and Q2-2026 10-Q; fee-burden components evidenced in 2.1/2.2/2.6/2.7</w:t>
            </w:r>
          </w:p>
        </w:tc>
      </w:tr>
      <w:tr>
        <w:tc>
          <w:tcPr>
            <w:tcW w:type="dxa" w:w="2880"/>
          </w:tcPr>
          <w:p>
            <w:r>
              <w:t>2.4 AFFE</w:t>
            </w:r>
          </w:p>
        </w:tc>
        <w:tc>
          <w:tcPr>
            <w:tcW w:type="dxa" w:w="3600"/>
          </w:tcPr>
          <w:p>
            <w:r>
              <w:t>no AFFE line</w:t>
            </w:r>
          </w:p>
        </w:tc>
        <w:tc>
          <w:tcPr>
            <w:tcW w:type="dxa" w:w="2880"/>
          </w:tcPr>
          <w:p>
            <w:r>
              <w:t>extracted-unverified</w:t>
            </w:r>
          </w:p>
        </w:tc>
      </w:tr>
      <w:tr>
        <w:tc>
          <w:tcPr>
            <w:tcW w:type="dxa" w:w="2880"/>
          </w:tcPr>
          <w:p>
            <w:r>
              <w:t>2.6 Loads &amp; servicing fees</w:t>
            </w:r>
          </w:p>
        </w:tc>
        <w:tc>
          <w:tcPr>
            <w:tcW w:type="dxa" w:w="3600"/>
          </w:tcPr>
          <w:p>
            <w:r>
              <w:t>no typed fact for this cell</w:t>
            </w:r>
          </w:p>
        </w:tc>
        <w:tc>
          <w:tcPr>
            <w:tcW w:type="dxa" w:w="2880"/>
          </w:tcPr>
          <w:p>
            <w:r>
              <w:t>extracted-unverified</w:t>
            </w:r>
          </w:p>
        </w:tc>
      </w:tr>
      <w:tr>
        <w:tc>
          <w:tcPr>
            <w:tcW w:type="dxa" w:w="2880"/>
          </w:tcPr>
          <w:p>
            <w:r>
              <w:t>2.7 Early repurchase fee</w:t>
            </w:r>
          </w:p>
        </w:tc>
        <w:tc>
          <w:tcPr>
            <w:tcW w:type="dxa" w:w="3600"/>
          </w:tcPr>
          <w:p>
            <w:r>
              <w:t>early repurchase fee: 5% &lt; 1 year</w:t>
            </w:r>
          </w:p>
        </w:tc>
        <w:tc>
          <w:tcPr>
            <w:tcW w:type="dxa" w:w="2880"/>
          </w:tcPr>
          <w:p>
            <w:r>
              <w:t>extracted-unverified</w:t>
            </w:r>
          </w:p>
        </w:tc>
      </w:tr>
      <w:tr>
        <w:tc>
          <w:tcPr>
            <w:tcW w:type="dxa" w:w="2880"/>
          </w:tcPr>
          <w:p>
            <w:r>
              <w:t>6.4 Tax reporting (1099 vs K-1)</w:t>
            </w:r>
          </w:p>
        </w:tc>
        <w:tc>
          <w:tcPr>
            <w:tcW w:type="dxa" w:w="3600"/>
          </w:tcPr>
          <w:p>
            <w:r>
              <w:t>no typed fact for this cell</w:t>
            </w:r>
          </w:p>
        </w:tc>
        <w:tc>
          <w:tcPr>
            <w:tcW w:type="dxa" w:w="2880"/>
          </w:tcPr>
          <w:p>
            <w:r>
              <w:t>partial</w:t>
            </w:r>
          </w:p>
        </w:tc>
      </w:tr>
    </w:tbl>
    <w:p>
      <w:pPr>
        <w:pStyle w:val="Heading1"/>
      </w:pPr>
      <w:r>
        <w:t>Exhibit D. Peer cohort placement</w:t>
      </w:r>
    </w:p>
    <w:p>
      <w:r>
        <w:t>Cohort Non-traded NAV REITs (n=3). Non-traded monthly-NAV REIT - breit's closest structural twin (class structure, repurchase plan, 2022-24 stress history).</w:t>
      </w:r>
    </w:p>
    <w:p>
      <w:r>
        <w:t>Cohort placement (non-traded real estate cohort): mgmt fee: at the cohort median of 1.25 (n=3, too small for percentile language) | expense ratio (bases differ, see notes): fact unavailable for this member | repurchase cap: below the cohort median of 2 (n=3, too small for percentile language). Statistics and per-member values are in the cohort artifact, membership rationales in the typed facts.</w:t>
      </w:r>
    </w:p>
    <w:p>
      <w:pPr>
        <w:pStyle w:val="ListBullet"/>
      </w:pPr>
      <w:r>
        <w:t>NAV-CADENCE MIX: daily, monthly, and quarterly NAV processes embed different appraisal smoothing. Volatility and drawdown comparisons inherit that difference (see de-smoothing lab). [typed per product: breit: monthly, jll_ipt: daily, sreit: monthly]</w:t>
      </w:r>
    </w:p>
    <w:p>
      <w:pPr>
        <w:pStyle w:val="Heading1"/>
      </w:pPr>
      <w:r>
        <w:t>Advisor-stated inputs (this plan)</w:t>
      </w:r>
    </w:p>
    <w:p>
      <w:r>
        <w:t>An advisor-stated cell is the adopting fiduciary's own input for its plan, signed and dated. It is not evidence, it is never extracted or verified, and the product record's cell stays as it is.</w:t>
      </w:r>
    </w:p>
    <w:p>
      <w:r>
        <w:t>None stated for US media/technology company 401(k) plan (~$570M, New York).</w:t>
      </w:r>
    </w:p>
    <w:p>
      <w:pPr>
        <w:pStyle w:val="Heading1"/>
      </w:pPr>
      <w:r>
        <w:t>Provenance</w:t>
      </w:r>
    </w:p>
    <w:p>
      <w:r>
        <w:t>Cell status for this product: structured 0, extracted-unverified 24, verified 0, computed 11, partial 6, fetched 1, n/a 13, pending 0.</w:t>
      </w:r>
    </w:p>
    <w:p>
      <w:r>
        <w:t>Regulatory basis: Fiduciary Duties in Selecting Designated Investment Alternatives, 91 FR 16088 (Mar. 31, 2026), RIN 1210-AC38, proposed 29 CFR 2550.404a-6, paragraphs (g) to (l), cited not paraphrased. Every figure above is a cited cell, a typed projection of one, or an engine artifact of the record as of 2026-09-04. Scenario figures are ILLUSTRATIVE. The plan is shown under its anonymized label.</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