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the held daily series NSLR (Yahoo daily close, a market price that includes premium and discount dynamics), 2016-08-15 to 2026-08-14: annualized volatility 47.5% on 120 monthly returns and 47.6% on daily returns, max drawdown -81.97% on the daily series (peak 2021-08-16 to trough 2023-03-17).</w:t>
            </w:r>
          </w:p>
          <w:p>
            <w:r>
              <w:t>1.8 Risk-adjusted metrics (PME etc) (computed): No KS-PME or Direct Alpha computable for the meaningful-benchmark slot: NO MEANINGFUL BENCHMARK CONSTRUCTIBLE for this pre-IPO and venture fund: its price is premium-driven and decoupled from NAV, so every candidate benchmarks the premium, not the portfolio.</w:t>
            </w:r>
          </w:p>
          <w:p>
            <w:r>
              <w:t>1.9 Stress-window performance (computed): Computed stress-window performance from the held daily series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1.12 Peer comparison (paragraphs (g) and (h)) (computed): Peer comparison (paragraphs (g) and (h)): pre-IPO and venture cohort, peers Destiny Tech100 Inc, ARK Venture Fund, fund return basis Yahoo adjusted close, approximates NAV total return (NSLR).</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expense ratio, net operating expenses under internal management, the fee regime changed 2026-07-15 (FY2025).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(pre-IPO and venture cohort):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on-exchange dealing. 3.3 no gating identified in the filings on record. 3.9 structural verdict aligned-mechanical, plan-independent.</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3.7 Plan participant liquidity demand (computed, this plan): Plan-side demand profile for this plan (Form 5500, plan year 2024-01-01 to 2024-12-31): 1,847 separated participants with balances = 36.1% of 5,120 accounts (the near-term liquidity tail), 3,281 active, 0 retirees in pay status, filed outflow proxy 11.69% of beginning net assets (Schedule H totals).</w:t>
            </w:r>
          </w:p>
          <w:p>
            <w:r>
              <w:t>3.8 Redemption stress test (computed, this plan): Redemption stress test not applicable: the wrapper is exchange-traded with continuous dealing, so there is no wrapper capacity to stress.</w:t>
            </w:r>
          </w:p>
          <w:p>
            <w:r>
              <w:t>3.9 Product-to-plan liquidity match (computed, this plan): Structural liquidity verdict ALIGNED-MECHANICAL (typed facts, plan-independent). Scenario verdict under this plan (ILLUSTRATIVE): ALIGNED-MECHANICAL. Source: this plan's liquidity match.</w:t>
            </w:r>
          </w:p>
          <w:p>
            <w:r>
              <w:t>Not applicable: 3.5 CIT only.</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 effective November 1, 2024)'.</w:t>
            </w:r>
          </w:p>
          <w:p>
            <w:r>
              <w:t>4.6 NAV restatement history (extracted-unverified): None identified: searched 'restat' and 'error correction' across all three on-disk filings (10-K FY2025, 10-Q Q2-2026, N-2 2026-07-31).</w:t>
            </w:r>
          </w:p>
          <w:p>
            <w:r>
              <w:t>4.7 Premium/discount check (computed): Premium or discount vs the printed quarterly NAV: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pre-IPO and venture cohort (n=3: Destiny Tech100 Inc, Neostellar Capital Corp., ARK Venture Fund).</w:t>
            </w:r>
          </w:p>
          <w:p>
            <w:r>
              <w:t>5.5 PME / Direct Alpha inputs (computed): No public market series comparison is computable on held data, so no PME inputs exist for this product: NO MEANINGFUL BENCHMARK CONSTRUCTIBLE for this pre-IPO and venture fund: its price is premium-driven and decoupled from NAV, so every candidate benchmarks the premium, not the portfolio.</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BDC.</w:t>
            </w:r>
          </w:p>
          <w:p>
            <w:r>
              <w:t>6.1 Structure map (extracted-unverified): Structure map: Maryland corporation (inc. 1/6/2011); non-diversified closed-end company electing BDC status under the 1940 Act; RIC under Subchapter M; single class of listed common stock (Nasdaq: NSLR, fka SSSS/GSVC) + listed 6.00% Notes (SSSSL) + 6.50% Convertible Notes 2029 + 6.50% Magnetar redeemable note.</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r>
        <w:t>Return basis for every comparison in this section: Yahoo adjusted close, approximates NAV total return (NSLR).</w:t>
      </w:r>
    </w:p>
    <w:p>
      <w:pPr>
        <w:pStyle w:val="Heading2"/>
      </w:pPr>
      <w:r>
        <w:t>ESCALATION: no meaningful benchmark constructible</w:t>
      </w:r>
    </w:p>
    <w:p>
      <w:r>
        <w:t>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Declared benchmark and SEC-required comparators (cell 5.1)</w:t>
      </w:r>
    </w:p>
    <w:p>
      <w:r>
        <w:t>SEC-required comparator: S&amp;P 500, held, scored 7/12, fund price decoupled from NAV. The declaration itself earns no points.</w:t>
      </w:r>
    </w:p>
    <w:p>
      <w:r>
        <w:t>Window 2018-07-18 to 2026-07-17 (clipped: proxy series begins 2018-07-18, proxy series ends 2026-07-17): fund 15.09%/yr (Yahoo adjusted close, approximates NAV total return) vs S&amp;P 500 14.66%/yr, KS-PME 1.0302, Direct Alpha 0.37%/yr.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1.1346 (97 equal contributions at the window start and each month-end inside it, valued at the window end). The two-point figure is primary.</w:t>
      </w:r>
    </w:p>
    <w:p>
      <w:r>
        <w:t>Declared benchmark: none. cell 5.1: the 10-K performance graph compares against indices with a printed statement that no appropriate strategy-matched index exists.</w:t>
      </w:r>
    </w:p>
    <w:p>
      <w:pPr>
        <w:pStyle w:val="Heading2"/>
      </w:pPr>
      <w:r>
        <w:t>Peer comparison (paragraphs (g) and (h)): pre-IPO and venture cohort</w:t>
      </w:r>
    </w:p>
    <w:p>
      <w:r>
        <w:t>Peers: Destiny Tech100 Inc, ARK Venture Fund. This is the history of similar investments, not the benchmark, and it is never a public market equivalent.</w:t>
      </w:r>
    </w:p>
    <w:p>
      <w:r>
        <w:t>Composite refused: fewer than 3 peers remain after leaving Neostellar Capital Corp. out (2: Destiny Tech100 Inc, ARK Venture Fund).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Neostellar Capital Corp.</w:t>
            </w:r>
          </w:p>
        </w:tc>
        <w:tc>
          <w:tcPr>
            <w:tcW w:type="dxa" w:w="1872"/>
          </w:tcPr>
          <w:p>
            <w:r>
              <w:t>Destiny Tech100 Inc</w:t>
            </w:r>
          </w:p>
        </w:tc>
        <w:tc>
          <w:tcPr>
            <w:tcW w:type="dxa" w:w="1872"/>
          </w:tcPr>
          <w:p>
            <w:r>
              <w:t>ARK Venture Fund</w:t>
            </w:r>
          </w:p>
        </w:tc>
      </w:tr>
      <w:tr>
        <w:tc>
          <w:tcPr>
            <w:tcW w:type="dxa" w:w="1872"/>
          </w:tcPr>
          <w:p>
            <w:r>
              <w:t>2017</w:t>
            </w:r>
          </w:p>
        </w:tc>
        <w:tc>
          <w:tcPr>
            <w:tcW w:type="dxa" w:w="1872"/>
          </w:tcPr>
          <w:p>
            <w:r>
              <w:t>1</w:t>
            </w:r>
          </w:p>
        </w:tc>
        <w:tc>
          <w:tcPr>
            <w:tcW w:type="dxa" w:w="1872"/>
          </w:tcPr>
          <w:p>
            <w:r>
              <w:t>8.35%</w:t>
            </w:r>
          </w:p>
        </w:tc>
        <w:tc>
          <w:tcPr>
            <w:tcW w:type="dxa" w:w="1872"/>
          </w:tcPr>
          <w:p>
            <w:r>
              <w:t>n/a</w:t>
            </w:r>
          </w:p>
        </w:tc>
        <w:tc>
          <w:tcPr>
            <w:tcW w:type="dxa" w:w="1872"/>
          </w:tcPr>
          <w:p>
            <w:r>
              <w:t>n/a</w:t>
            </w:r>
          </w:p>
        </w:tc>
      </w:tr>
      <w:tr>
        <w:tc>
          <w:tcPr>
            <w:tcW w:type="dxa" w:w="1872"/>
          </w:tcPr>
          <w:p>
            <w:r>
              <w:t>2018</w:t>
            </w:r>
          </w:p>
        </w:tc>
        <w:tc>
          <w:tcPr>
            <w:tcW w:type="dxa" w:w="1872"/>
          </w:tcPr>
          <w:p>
            <w:r>
              <w:t>1</w:t>
            </w:r>
          </w:p>
        </w:tc>
        <w:tc>
          <w:tcPr>
            <w:tcW w:type="dxa" w:w="1872"/>
          </w:tcPr>
          <w:p>
            <w:r>
              <w:t>-4.22%</w:t>
            </w:r>
          </w:p>
        </w:tc>
        <w:tc>
          <w:tcPr>
            <w:tcW w:type="dxa" w:w="1872"/>
          </w:tcPr>
          <w:p>
            <w:r>
              <w:t>n/a</w:t>
            </w:r>
          </w:p>
        </w:tc>
        <w:tc>
          <w:tcPr>
            <w:tcW w:type="dxa" w:w="1872"/>
          </w:tcPr>
          <w:p>
            <w:r>
              <w:t>n/a</w:t>
            </w:r>
          </w:p>
        </w:tc>
      </w:tr>
      <w:tr>
        <w:tc>
          <w:tcPr>
            <w:tcW w:type="dxa" w:w="1872"/>
          </w:tcPr>
          <w:p>
            <w:r>
              <w:t>2019</w:t>
            </w:r>
          </w:p>
        </w:tc>
        <w:tc>
          <w:tcPr>
            <w:tcW w:type="dxa" w:w="1872"/>
          </w:tcPr>
          <w:p>
            <w:r>
              <w:t>1</w:t>
            </w:r>
          </w:p>
        </w:tc>
        <w:tc>
          <w:tcPr>
            <w:tcW w:type="dxa" w:w="1872"/>
          </w:tcPr>
          <w:p>
            <w:r>
              <w:t>31.56%</w:t>
            </w:r>
          </w:p>
        </w:tc>
        <w:tc>
          <w:tcPr>
            <w:tcW w:type="dxa" w:w="1872"/>
          </w:tcPr>
          <w:p>
            <w:r>
              <w:t>n/a</w:t>
            </w:r>
          </w:p>
        </w:tc>
        <w:tc>
          <w:tcPr>
            <w:tcW w:type="dxa" w:w="1872"/>
          </w:tcPr>
          <w:p>
            <w:r>
              <w:t>n/a</w:t>
            </w:r>
          </w:p>
        </w:tc>
      </w:tr>
      <w:tr>
        <w:tc>
          <w:tcPr>
            <w:tcW w:type="dxa" w:w="1872"/>
          </w:tcPr>
          <w:p>
            <w:r>
              <w:t>2020</w:t>
            </w:r>
          </w:p>
        </w:tc>
        <w:tc>
          <w:tcPr>
            <w:tcW w:type="dxa" w:w="1872"/>
          </w:tcPr>
          <w:p>
            <w:r>
              <w:t>1</w:t>
            </w:r>
          </w:p>
        </w:tc>
        <w:tc>
          <w:tcPr>
            <w:tcW w:type="dxa" w:w="1872"/>
          </w:tcPr>
          <w:p>
            <w:r>
              <w:t>116.63%</w:t>
            </w:r>
          </w:p>
        </w:tc>
        <w:tc>
          <w:tcPr>
            <w:tcW w:type="dxa" w:w="1872"/>
          </w:tcPr>
          <w:p>
            <w:r>
              <w:t>n/a</w:t>
            </w:r>
          </w:p>
        </w:tc>
        <w:tc>
          <w:tcPr>
            <w:tcW w:type="dxa" w:w="1872"/>
          </w:tcPr>
          <w:p>
            <w:r>
              <w:t>n/a</w:t>
            </w:r>
          </w:p>
        </w:tc>
      </w:tr>
      <w:tr>
        <w:tc>
          <w:tcPr>
            <w:tcW w:type="dxa" w:w="1872"/>
          </w:tcPr>
          <w:p>
            <w:r>
              <w:t>2021</w:t>
            </w:r>
          </w:p>
        </w:tc>
        <w:tc>
          <w:tcPr>
            <w:tcW w:type="dxa" w:w="1872"/>
          </w:tcPr>
          <w:p>
            <w:r>
              <w:t>1</w:t>
            </w:r>
          </w:p>
        </w:tc>
        <w:tc>
          <w:tcPr>
            <w:tcW w:type="dxa" w:w="1872"/>
          </w:tcPr>
          <w:p>
            <w:r>
              <w:t>72.61%</w:t>
            </w:r>
          </w:p>
        </w:tc>
        <w:tc>
          <w:tcPr>
            <w:tcW w:type="dxa" w:w="1872"/>
          </w:tcPr>
          <w:p>
            <w:r>
              <w:t>n/a</w:t>
            </w:r>
          </w:p>
        </w:tc>
        <w:tc>
          <w:tcPr>
            <w:tcW w:type="dxa" w:w="1872"/>
          </w:tcPr>
          <w:p>
            <w:r>
              <w:t>n/a</w:t>
            </w:r>
          </w:p>
        </w:tc>
      </w:tr>
      <w:tr>
        <w:tc>
          <w:tcPr>
            <w:tcW w:type="dxa" w:w="1872"/>
          </w:tcPr>
          <w:p>
            <w:r>
              <w:t>2022</w:t>
            </w:r>
          </w:p>
        </w:tc>
        <w:tc>
          <w:tcPr>
            <w:tcW w:type="dxa" w:w="1872"/>
          </w:tcPr>
          <w:p>
            <w:r>
              <w:t>1</w:t>
            </w:r>
          </w:p>
        </w:tc>
        <w:tc>
          <w:tcPr>
            <w:tcW w:type="dxa" w:w="1872"/>
          </w:tcPr>
          <w:p>
            <w:r>
              <w:t>-70.31%</w:t>
            </w:r>
          </w:p>
        </w:tc>
        <w:tc>
          <w:tcPr>
            <w:tcW w:type="dxa" w:w="1872"/>
          </w:tcPr>
          <w:p>
            <w:r>
              <w:t>n/a</w:t>
            </w:r>
          </w:p>
        </w:tc>
        <w:tc>
          <w:tcPr>
            <w:tcW w:type="dxa" w:w="1872"/>
          </w:tcPr>
          <w:p>
            <w:r>
              <w:t>n/a</w:t>
            </w:r>
          </w:p>
        </w:tc>
      </w:tr>
      <w:tr>
        <w:tc>
          <w:tcPr>
            <w:tcW w:type="dxa" w:w="1872"/>
          </w:tcPr>
          <w:p>
            <w:r>
              <w:t>2023</w:t>
            </w:r>
          </w:p>
        </w:tc>
        <w:tc>
          <w:tcPr>
            <w:tcW w:type="dxa" w:w="1872"/>
          </w:tcPr>
          <w:p>
            <w:r>
              <w:t>2</w:t>
            </w:r>
          </w:p>
        </w:tc>
        <w:tc>
          <w:tcPr>
            <w:tcW w:type="dxa" w:w="1872"/>
          </w:tcPr>
          <w:p>
            <w:r>
              <w:t>3.68%</w:t>
            </w:r>
          </w:p>
        </w:tc>
        <w:tc>
          <w:tcPr>
            <w:tcW w:type="dxa" w:w="1872"/>
          </w:tcPr>
          <w:p>
            <w:r>
              <w:t>n/a</w:t>
            </w:r>
          </w:p>
        </w:tc>
        <w:tc>
          <w:tcPr>
            <w:tcW w:type="dxa" w:w="1872"/>
          </w:tcPr>
          <w:p>
            <w:r>
              <w:t>61.25%</w:t>
            </w:r>
          </w:p>
        </w:tc>
      </w:tr>
      <w:tr>
        <w:tc>
          <w:tcPr>
            <w:tcW w:type="dxa" w:w="1872"/>
          </w:tcPr>
          <w:p>
            <w:r>
              <w:t>2024</w:t>
            </w:r>
          </w:p>
        </w:tc>
        <w:tc>
          <w:tcPr>
            <w:tcW w:type="dxa" w:w="1872"/>
          </w:tcPr>
          <w:p>
            <w:r>
              <w:t>2</w:t>
            </w:r>
          </w:p>
        </w:tc>
        <w:tc>
          <w:tcPr>
            <w:tcW w:type="dxa" w:w="1872"/>
          </w:tcPr>
          <w:p>
            <w:r>
              <w:t>49.24%</w:t>
            </w:r>
          </w:p>
        </w:tc>
        <w:tc>
          <w:tcPr>
            <w:tcW w:type="dxa" w:w="1872"/>
          </w:tcPr>
          <w:p>
            <w:r>
              <w:t>n/a</w:t>
            </w:r>
          </w:p>
        </w:tc>
        <w:tc>
          <w:tcPr>
            <w:tcW w:type="dxa" w:w="1872"/>
          </w:tcPr>
          <w:p>
            <w:r>
              <w:t>6.69%</w:t>
            </w:r>
          </w:p>
        </w:tc>
      </w:tr>
      <w:tr>
        <w:tc>
          <w:tcPr>
            <w:tcW w:type="dxa" w:w="1872"/>
          </w:tcPr>
          <w:p>
            <w:r>
              <w:t>2025</w:t>
            </w:r>
          </w:p>
        </w:tc>
        <w:tc>
          <w:tcPr>
            <w:tcW w:type="dxa" w:w="1872"/>
          </w:tcPr>
          <w:p>
            <w:r>
              <w:t>3</w:t>
            </w:r>
          </w:p>
        </w:tc>
        <w:tc>
          <w:tcPr>
            <w:tcW w:type="dxa" w:w="1872"/>
          </w:tcPr>
          <w:p>
            <w:r>
              <w:t>69.91%</w:t>
            </w:r>
          </w:p>
        </w:tc>
        <w:tc>
          <w:tcPr>
            <w:tcW w:type="dxa" w:w="1872"/>
          </w:tcPr>
          <w:p>
            <w:r>
              <w:t>-47.96%</w:t>
            </w:r>
          </w:p>
        </w:tc>
        <w:tc>
          <w:tcPr>
            <w:tcW w:type="dxa" w:w="1872"/>
          </w:tcPr>
          <w:p>
            <w:r>
              <w:t>55.68%</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3 wrapper types (interval fund (Rule 23c-3), listed BDC, listed closed-end fund)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(listed private equity for late-stage growth in a listed BDC), risk_liquidity_match 0/3: fund price is premium-driven and decoupled from NAV, no candidate matches that risk process (fund terms: exchange-traded, continuous dealing at the market price), provider_independence 2/2: provider unaffiliated with the fund (Invesco / Red Rocks): the registry affiliation map ties it to none of the fund's advisers, data_held 2/2: daily public market series held (exchange-traded proxy, Yahoo adjusted close), pricing_basis_match 2/2: both market-priced series.</w:t>
            </w:r>
          </w:p>
        </w:tc>
      </w:tr>
      <w:tr>
        <w:tc>
          <w:tcPr>
            <w:tcW w:type="dxa" w:w="2880"/>
          </w:tcPr>
          <w:p>
            <w:r>
              <w:t>S&amp;P 500 investable proxy (SPY)</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(US large cap for late-stage growth in a listed BDC), risk_liquidity_match 0/3: fund price is premium-driven and decoupled from NAV, no candidate matches that risk process (fund terms: exchange-traded, continuous dealing at the market price), provider_independence 2/2: provider unaffiliated with the fund (SPDR / S&amp;P DJI): the registry affiliation map ties it to none of the fund's advisers, data_held 2/2: daily public market series held (exchange-traded proxy, Yahoo adjusted close), pricing_basis_match 2/2: both market-priced series.</w:t>
            </w:r>
          </w:p>
        </w:tc>
      </w:tr>
    </w:tbl>
    <w:p>
      <w:pPr>
        <w:pStyle w:val="Heading1"/>
      </w:pPr>
      <w:r>
        <w:t>Product-to-plan liquidity match</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not applicable (exchange-traded).</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11.7%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10.4% of the position per year, from tail turnover 20%/yr on the 36.1% of accounts that are separated and active turnover 5%/yr on the rest. Shown beside the filed rate, not blended with it, and likewise a selling rate against market depth.</w:t>
      </w:r>
    </w:p>
    <w:p>
      <w:r>
        <w:t>Cited: cell 3.1, cell 3.3, cell 3.7, plan: plan_tech_media.json (Form 5500, plan year 2024-01-01 to 2024-12-31).</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media/technology company 401(k) plan (~$570M, New York) (ILLUSTRATIVE):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Flags raised by the record (each restates a typed value or verdict already in the artifacts,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Neostellar Capital Corp. out (2: Destiny Tech100 Inc, ARK Venture Fund) (cell 1.12)</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13, partial 4, fetched 1, n/a 10, pending 0. 45 of 45 resolvable, 0 verified, 10 n/a by wrapper.</w:t>
      </w:r>
    </w:p>
    <w:p>
      <w:r>
        <w:t>Of the 44 evidenced cells, 44 carry a source document, 44 a section, 31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1.12</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analytics supplement artifact (premium block)</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