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StepStone Private Markets (tender-offer fund ('40 Act), CIK 1789470)</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CONDITIONAL-WEAK.</w:t>
      </w:r>
    </w:p>
    <w:p>
      <w:r>
        <w:t>Meaningful benchmark (paragraph (k)): Cambridge Associates US PE benchmark at 9/12, no comparison computed (cited, series not in the record: no comparison computed).</w:t>
      </w:r>
    </w:p>
    <w:p>
      <w:r>
        <w:t>Reference comparison, not the meaningful benchmark: Listed private equity investable proxy (PSP), KS-PME 1.8718, Direct Alpha 13.36%/yr over 2021-03-31 to 2026-03-31.</w:t>
      </w:r>
    </w:p>
    <w:p>
      <w:r>
        <w:t>Peer comparison (paragraphs (g) and (h)): 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 (cell 1.12)</w:t>
      </w:r>
    </w:p>
    <w:p>
      <w:pPr>
        <w:pStyle w:val="ListBullet"/>
      </w:pPr>
      <w:r>
        <w:t>Liquidity: structural verdict partial, facts missing: gate_history (cells 3.1, 3.3)</w:t>
      </w:r>
    </w:p>
    <w:p>
      <w:pPr>
        <w:pStyle w:val="ListBullet"/>
      </w:pPr>
      <w:r>
        <w:t>Liquidity: ILLUSTRATIVE scenario verdict conditional-weak under this plan (the filed outflow proxy or the stressed demand above wrapper capacity)</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Cambridge Associates US PE benchmark</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private equity investable proxy (PSP)</w:t>
            </w:r>
          </w:p>
        </w:tc>
        <w:tc>
          <w:tcPr>
            <w:tcW w:type="dxa" w:w="864"/>
          </w:tcPr>
          <w:p>
            <w:r>
              <w:t>8/12</w:t>
            </w:r>
          </w:p>
        </w:tc>
        <w:tc>
          <w:tcPr>
            <w:tcW w:type="dxa" w:w="3888"/>
          </w:tcPr>
          <w:p>
            <w:r>
              <w:t>KS-PME 1.8718, Direct Alpha 13.36%/yr, 2021-03-31 to 2026-03-31</w:t>
            </w:r>
          </w:p>
        </w:tc>
      </w:tr>
      <w:tr>
        <w:tc>
          <w:tcPr>
            <w:tcW w:type="dxa" w:w="1152"/>
          </w:tcPr>
          <w:p>
            <w:r>
              <w:t>declared benchmark</w:t>
            </w:r>
          </w:p>
        </w:tc>
        <w:tc>
          <w:tcPr>
            <w:tcW w:type="dxa" w:w="3456"/>
          </w:tcPr>
          <w:p>
            <w:r>
              <w:t>MSCI World Index</w:t>
            </w:r>
          </w:p>
        </w:tc>
        <w:tc>
          <w:tcPr>
            <w:tcW w:type="dxa" w:w="864"/>
          </w:tcPr>
          <w:p>
            <w:r/>
          </w:p>
        </w:tc>
        <w:tc>
          <w:tcPr>
            <w:tcW w:type="dxa" w:w="3888"/>
          </w:tcPr>
          <w:p>
            <w:r>
              <w:t>held, scored 7/12, fails the strategy gate (strategy_match 1/3). KS-PME 1.185, Direct Alpha 3.45%/yr, 2021-03-31 to 2026-03-31</w:t>
            </w:r>
          </w:p>
        </w:tc>
      </w:tr>
      <w:tr>
        <w:tc>
          <w:tcPr>
            <w:tcW w:type="dxa" w:w="1152"/>
          </w:tcPr>
          <w:p>
            <w:r>
              <w:t>Peer comparison (paragraphs (g) and (h))</w:t>
            </w:r>
          </w:p>
        </w:tc>
        <w:tc>
          <w:tcPr>
            <w:tcW w:type="dxa" w:w="3456"/>
          </w:tcPr>
          <w:p>
            <w:r>
              <w:t>Peer composite, evergreen private equity cohort without StepStone Private Markets</w:t>
            </w:r>
          </w:p>
        </w:tc>
        <w:tc>
          <w:tcPr>
            <w:tcW w:type="dxa" w:w="864"/>
          </w:tcPr>
          <w:p>
            <w:r>
              <w:t>not scored</w:t>
            </w:r>
          </w:p>
        </w:tc>
        <w:tc>
          <w:tcPr>
            <w:tcW w:type="dxa" w:w="3888"/>
          </w:tcPr>
          <w:p>
            <w:r>
              <w:t>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ranked below the selected candidate: 8/12 vs 9/12 for Cambridge PE benchmark</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approx. $5.8B</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$1.2B per year (20% of approx. $5.8B net assets, cell 3.6). The plan's demand at the filed rate is $3.3M per year, 0.28% of that capacity, a claim shared with every other holder.</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Fund capacity in dollars: 20% of approx. $5.8B net assets (cell 3.6) is $1.2B per year. At a 5% allocation ($28.3M) the plan's demand at the filed rate is $3.3M per year, 0.28%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net assets</w:t>
            </w:r>
          </w:p>
        </w:tc>
        <w:tc>
          <w:tcPr>
            <w:tcW w:type="dxa" w:w="2880"/>
          </w:tcPr>
          <w:p>
            <w:r>
              <w:t>extracted-unverified</w:t>
            </w:r>
          </w:p>
        </w:tc>
      </w:tr>
      <w:tr>
        <w:tc>
          <w:tcPr>
            <w:tcW w:type="dxa" w:w="2880"/>
          </w:tcPr>
          <w:p>
            <w:r>
              <w:t>2.2 Incentive fee terms</w:t>
            </w:r>
          </w:p>
        </w:tc>
        <w:tc>
          <w:tcPr>
            <w:tcW w:type="dxa" w:w="3600"/>
          </w:tcPr>
          <w:p>
            <w:r>
              <w:t>no typed fact for this cell</w:t>
            </w:r>
          </w:p>
        </w:tc>
        <w:tc>
          <w:tcPr>
            <w:tcW w:type="dxa" w:w="2880"/>
          </w:tcPr>
          <w:p>
            <w:r>
              <w:t>partial</w:t>
            </w:r>
          </w:p>
        </w:tc>
      </w:tr>
      <w:tr>
        <w:tc>
          <w:tcPr>
            <w:tcW w:type="dxa" w:w="2880"/>
          </w:tcPr>
          <w:p>
            <w:r>
              <w:t>2.3 Total expense ratio &amp; waivers</w:t>
            </w:r>
          </w:p>
        </w:tc>
        <w:tc>
          <w:tcPr>
            <w:tcW w:type="dxa" w:w="3600"/>
          </w:tcPr>
          <w:p>
            <w:r>
              <w:t>1.91% expense ratio, AFFE excluded (FY2026, Class I)</w:t>
            </w:r>
          </w:p>
        </w:tc>
        <w:tc>
          <w:tcPr>
            <w:tcW w:type="dxa" w:w="2880"/>
          </w:tcPr>
          <w:p>
            <w:r>
              <w:t>extracted-unverified</w:t>
            </w:r>
          </w:p>
        </w:tc>
      </w:tr>
      <w:tr>
        <w:tc>
          <w:tcPr>
            <w:tcW w:type="dxa" w:w="2880"/>
          </w:tcPr>
          <w:p>
            <w:r>
              <w:t>2.4 AFFE</w:t>
            </w:r>
          </w:p>
        </w:tc>
        <w:tc>
          <w:tcPr>
            <w:tcW w:type="dxa" w:w="3600"/>
          </w:tcPr>
          <w:p>
            <w:r>
              <w:t>AFFE 0.59%</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no typed fact for this cell</w:t>
            </w:r>
          </w:p>
        </w:tc>
        <w:tc>
          <w:tcPr>
            <w:tcW w:type="dxa" w:w="2880"/>
          </w:tcPr>
          <w:p>
            <w:r>
              <w:t>partial</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multi-strategy (secondaries-led) tender-offer fund -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27, verified 0, computed 11,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