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(n=5): members, rationales, stats, composite (or its documented refusal) and caveat block in the cohort artifact; exclusions in data/roster_decisions.md.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2016-03-31 to 2026-03-31: fund 13.17%/yr vs benchmark 3.45%/yr; KS-PME 2.4551; Direct Alpha 9.4%/yr.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2016-03-31 to 2026-03-31: fund 13.17%/yr vs benchmark 8.61%/yr; KS-PME 1.5085; Direct Alpha 4.2%/yr.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 - see notes): 30th percentile of cohort (n=5), below the median of 3.19 | repurchase cap: 12th percentile of cohort (n=4), at the median of 5. Stats + caveats in the cohort artifact.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