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Destiny Tech100 Inc (listed closed-end fund (NYSE: DXYZ), CIK 1843974)</w:t>
        <w:br/>
      </w:r>
      <w:r>
        <w:t>Date: 2026-08-25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NAV per share, FY-end (common stock, sole class): FY2022 $5.22, FY2023 $4.84, FY2024 $6.44, FY2025 $19.93; beginning NAV 1/1/2022 was NEGATIVE $(1.60). Total Return on Net Asset Value: FY2022 426.08% (footnote 5: compute</w:t>
              <w:br/>
              <w:t>1.2: Total Return on MARKET VALUE: +613.45% (2024, listing year) then (47.96)% (2025) - the premium/discount pathology quantified in the fund's own highlights. NAV-based returns pending table read.</w:t>
              <w:br/>
              <w:t>1.3: No gross-vs-net spread exists: the Financial Highlights print a SINGLE expense line, 'Ratio of expenses to average net assets' — 4.53% (FY2025), 6.28% (FY2024), 5.92% (FY2023), 5.13% (FY2022) — with no before/after-waive</w:t>
              <w:br/>
              <w:t xml:space="preserve">1.4: No distributions ever paid through FY2025. N-CSR Note 8 (Tax): 'There were no distributions for the period ended December 31, 2025'; tax-character table prints Ordinary Income $— and Total Distributions Paid $— for both 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CORRECTED per crosscheck: Revised Base Management Fee IN FORCE since NYSE listing (3/26/2024): 0.625% per QUARTER = 2.50% annualized of average GROSS assets INCLUDING assets purchased with borrowings - the leverage-inclu</w:t>
              <w:br/>
              <w:t>2.2: NO incentive/performance fee at the fund level — absence documented three ways: (1) the advisory-agreement compensation statement prints ONLY the Management Fee (2.50% annualized of average gross assets, payable quarterl</w:t>
              <w:br/>
              <w:t>2.3: Expense ratio 4.53% of avg net assets (FY2025); prior years 6.28 / 5.92 / 5.13. Net assets $438.0M at 12/31/2025 (vs $70.0M a year prior - the 2025 ATM raise, ~$324M net proceeds).</w:t>
              <w:br/>
              <w:t>2.4: AFFE line present in the 424B5 fee table ('Annual expenses', estimates for current fiscal year, % of net assets attributable to common stock): Acquired Fund Fees and Expenses 0.03% (footnote 3: 'Acquired Fund Fees and Ex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Listed CEF: NYSE since March 26, 2024, ticker DXYZ; daily on-exchange liquidity; no fund-level repurchase program. ('No fund-level repurchase program' is an inference from absence - the word repurchase appears nowhere in</w:t>
              <w:br/>
              <w:t>3.4: As of 12/31/2025 (N-CSR fair value hierarchy): total investments $428,897,451 = Level 1 $203,457,292 (incl. money market $200,873,326), Level 2 $0, Level 3 $224,274,823 (common stocks $23,999,768; preferred stocks $42,55</w:t>
              <w:br/>
              <w:t>3.6: No borrowings, no credit facility, no preferred: (1) N-CSR balance sheet (12/31/2025) Total Liabilities $3,323,215 consist entirely of operating payables (management fees $1,891,641; professional $687,752; investments pu</w:t>
              <w:br/>
              <w:t>3.7: Plan-side demand profile (Form 5500 PY2024): 1,847 separated-with-balances = 36.1% of 5,120 accounts - the near-term liquidity tail; 3,281 active; zero retirees in pay status; 404(c) fully participant-directed.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Valuation: Board has appointed the Adviser (Destiny Advisors LLC) as 'Valuation Designee' under Rule 2a-5 to perform fair value determinations, applying ASC 820 (Income and Market Approaches); the Adviser, with input fro</w:t>
              <w:br/>
              <w:t>4.2: PARTIAL: portfolio predominantly Level 3 - 'Level 3 securities fair valued using significant unobservable inputs' (SOI footnote b); dollar hierarchy table pending read.</w:t>
              <w:br/>
              <w:t>4.3: Independent valuation agent exists but is NOT NAMED in any on-disk dxyz filing. N-CSR Note 3 (Fair Value Measurements) states securities lacking available pricing 'may be valued by an independent reputable third-party se</w:t>
              <w:br/>
              <w:t>4.4: Level 3 quantitative inputs table (N-CSR Note 3, as of 12/31/2025; fair value / technique / unobservable input / range(avg)): COMMON STOCKS $23,999,768 across 7 buckets — Market Approach: VWAP transaction prices $341,318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YES — the Fund itself declares the NASDAQ Composite Index as its benchmark, in two places in the N-CSR: (1) Manager's Commentary: FY2025 NAV +209.59% 'compares to a 20.36% return for the Nasdaq Composite, a benchmark'; (</w:t>
              <w:br/>
              <w:t>5.3: Alt asset-class index candidates evaluated by the engine (incl. paid/manual ones deliberately kept in the menu and rejected with reasons): Listed private equity proxy (PSP) - REJECTED: fund price is premium/discount-driv</w:t>
              <w:br/>
              <w:t>5.4: Peer cohort (lane C) as constructed by the engine: no listed pre-IPO-venture peer in universe; escalation stands. Universe = this roster; a market-wide peer database is licensed data not held (documented in the rejection</w:t>
              <w:br/>
              <w:t>5.5: No PME inputs constructible: engine escalated (premium-driven price series; see 1.8/5.3). The refusal and its reason ARE the documented output.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Maryland corporation formed November 18, 2020; commenced operations January 25, 2021; registered with SEC as an investment company May 13, 2022; non-diversified closed-end management investment company under the 1940 Act</w:t>
              <w:br/>
              <w:t xml:space="preserve">6.2: Objective: maximize total return principally via capital gains on equity/equity-related investments in what it believes to be 100 of the top venture-backed private technology companies. 80% policy: &gt;=80% of total assets </w:t>
              <w:br/>
              <w:t>6.3: Conflicts (424B5 'Potential conflicts of interest'): Adviser's team manages/may manage other vehicles; Mr. Prasad co-founded S2 Capital, which invested in early-stage tech companies the Fund may also seek to invest in, s</w:t>
              <w:br/>
              <w:t>6.4: PARTIAL: tax form NOT explicitly named in on-disk filings - searched N-CSR 2026-03-10, 424B5 2026-05-26, 424B3 2026-05-12 and N-2-A 2025-07-10 for '1099' / 'K-1' / 'Schedule K': zero hits. What IS printed: fund elected 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 —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comparison; proceeding without one documented here would undercut the safe harbor. Recommended action: do not proceed pending the data steps above;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Pre-IPO / venture growth (listed CEF + listed BDC + interval fund) (n=3). Membership rationale: Listed CEF holding pre-IPO tech - the premium-pricing fail case; the cohort exists to show premium vs NAV pricing as a PATTERN.</w:t>
      </w:r>
    </w:p>
    <w:p>
      <w:r>
        <w:t>Cohort placement (venture, R4 phrasing): mgmt fee: at the cohort median of 2.5 (n=3 — too small for percentile language) | expense ratio (bases differ - see notes): at the cohort median of 4.53 (n=3 — too small for percentile language) | repurchase cap: fact unavailable for this member. Stats + caveats in the cohort artifact; the prior universe-of-6 percentile is superseded by cohort placement.</w:t>
      </w:r>
    </w:p>
    <w:p>
      <w:r>
        <w:t>Cohort composite: REFUSED — members' pricing bases are heterogeneous (market price vs NAV); an equal-weight composite would average premium/discount dynamics against appraisal NAVs -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24, fetched: 1, n/a: 15, partial: 2.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