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Designated Investment Alternative Evaluation — Decision Memo</w:t>
      </w:r>
    </w:p>
    <w:p>
      <w:r>
        <w:rPr>
          <w:b/>
        </w:rPr>
        <w:t>Plan: US media/technology company 401(k) plan (~$570M, New York)</w:t>
        <w:br/>
      </w:r>
      <w:r>
        <w:t>Product: Blue Owl Credit Income Corp. (perpetual-life non-traded BDC (quarterly 13e-4 tenders), CIK 1812554)</w:t>
        <w:br/>
      </w:r>
      <w:r>
        <w:t>Date: 2026-08-25    Status: DRAFT — demo build; cells marked extracted-unverified pend independent verification.</w:t>
      </w:r>
    </w:p>
    <w:p>
      <w:pPr>
        <w:pStyle w:val="Heading1"/>
      </w:pPr>
      <w:r>
        <w:t>Regulatory basis</w:t>
      </w:r>
    </w:p>
    <w:p>
      <w:r>
        <w:t>DOL proposed rule, Fiduciary Duties in Selecting Designated Investment Alternatives, 91 FR 16088 (Mar. 31, 2026), RIN 1210-AC38</w:t>
      </w:r>
    </w:p>
    <w:p>
      <w:r>
        <w:t>This memo documents an evaluation of the product below as a potential designated investment alternative (DIA) for the plan, structured on the six factors of the proposed rule: performance, fees and expenses, liquidity, valuation, performance benchmarks, and complexity. The proposed safe harbor attaches to a documented, objective, thorough and analytical process; this memo and its underlying evidence files constitute that record.</w:t>
      </w:r>
    </w:p>
    <w:p>
      <w:r>
        <w:t>On benchmarks, the proposal requires comparison against a meaningful benchmark and acknowledges that no single benchmark is meaningful for every DIA; where none exists, the history of a similar type of investment may serve. The benchmark section below therefore documents the selection AND the rejections: every candidate considered, its score, and the true reason it was or was not chosen. Note: the pleading standard for benchmark-based claims is before the Supreme Court in Anderson v. Intel (argument expected October Term 2026); this memo's approach is designed to be defensible under either outcome.</w:t>
      </w:r>
    </w:p>
    <w:p>
      <w:pPr>
        <w:pStyle w:val="Heading1"/>
      </w:pPr>
      <w:r>
        <w:t>Six-factor findings (summary)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</w:tcPr>
          <w:p>
            <w:r>
              <w:t>Factor</w:t>
            </w:r>
          </w:p>
        </w:tc>
        <w:tc>
          <w:tcPr>
            <w:tcW w:type="dxa" w:w="7344"/>
          </w:tcPr>
          <w:p>
            <w:r>
              <w:t>Key findings (cell: value)</w:t>
            </w:r>
          </w:p>
        </w:tc>
      </w:tr>
      <w:tr>
        <w:tc>
          <w:tcPr>
            <w:tcW w:type="dxa" w:w="2016"/>
          </w:tcPr>
          <w:p>
            <w:r>
              <w:t>1 — Performance</w:t>
            </w:r>
          </w:p>
        </w:tc>
        <w:tc>
          <w:tcPr>
            <w:tcW w:type="dxa" w:w="7344"/>
          </w:tcPr>
          <w:p>
            <w:r>
              <w:t>1.1: Annual net total returns (NAV-based, DRIP-assumed, net of all fees) by class — 2021: S 5.1% / D 6.1% / I 4.3%; 2022: 4.2% / 4.9% / 5.2%; 2023: 12.6% / 13.3% / 13.5%; 2024: 10.4% / 11.1% / 11.5%; 2025: 7.1% / 7.7% / 7.9%;</w:t>
              <w:br/>
              <w:t>1.2: Calendar-year total returns are printed per class for 2020 (partial) through 2025 (see 1.1). The 10-K prints NO trailing 3-year/5-year/since-inception annualized return figures; footnote states total return is not annual</w:t>
              <w:br/>
              <w:t>1.3: No gross-of-fee return series is published; only net total returns. The documented gross-to-net wedge: FY2025 net expense ratios to average net assets were 9.3% (S) / 8.7% (D) / 8.4% (I), including interest expense; FY20</w:t>
              <w:br/>
              <w:t>1.4: Monthly distributions, declared by the Board monthly in arrears. Per-share distributions FY2025: S $0.87 / D $0.93 / I $0.95 (of which $0.07/$0.09/$0.08 was in excess of net investment income on a book basis); FY2024: $0</w:t>
            </w:r>
          </w:p>
        </w:tc>
      </w:tr>
      <w:tr>
        <w:tc>
          <w:tcPr>
            <w:tcW w:type="dxa" w:w="2016"/>
          </w:tcPr>
          <w:p>
            <w:r>
              <w:t>2 — Fees</w:t>
            </w:r>
          </w:p>
        </w:tc>
        <w:tc>
          <w:tcPr>
            <w:tcW w:type="dxa" w:w="7344"/>
          </w:tcPr>
          <w:p>
            <w:r>
              <w:t>2.1: Base management fee: 1.25% per annum on the average value of NET ASSETS at the end of the two most recently completed calendar months, payable monthly in arrears (NOT a gross/total-assets base — leverage is excluded from</w:t>
              <w:br/>
              <w:t>2.2: Two-part incentive fee. (1) Income: 12.50% of pre-incentive-fee net investment income, quarterly in arrears; quarterly preferred return (hurdle) 1.25% of prior-quarter NAV; 100% catch-up on income between 1.25% and the 1</w:t>
              <w:br/>
              <w:t>2.3: N-2 fee table (as % of net assets attributable to common shares, assuming $18.1B average net assets and borrowing equal to 100% of average net assets): Total annual expenses 9.94% (Class S) / 9.34% (D) / 9.09% (I) = base</w:t>
              <w:br/>
              <w:t>2.4: Acquired fund fees and expenses line in the N-2 fee table is 0% (shown as —) for all three classes; the fund does not expect material expenses from investing in other registered funds/BDCs. Shareholders would, however, i</w:t>
            </w:r>
          </w:p>
        </w:tc>
      </w:tr>
      <w:tr>
        <w:tc>
          <w:tcPr>
            <w:tcW w:type="dxa" w:w="2016"/>
          </w:tcPr>
          <w:p>
            <w:r>
              <w:t>3 — Liquidity</w:t>
            </w:r>
          </w:p>
        </w:tc>
        <w:tc>
          <w:tcPr>
            <w:tcW w:type="dxa" w:w="7344"/>
          </w:tcPr>
          <w:p>
            <w:r>
              <w:t>3.1: Perpetual-life, non-traded BDC. No exchange listing intended and no committed liquidity-event timeline ('if at all'). Sole ordinary liquidity: quarterly issuer tender offers at the current net offering price per class, c</w:t>
              <w:br/>
              <w:t>3.2: Mechanics: issuer tender offers under Exchange Act Rule 13e-4 (SC TO-I checkbox: 'Issuer tender offer subject to Rule 13e-4'), NOT Rule 23c-3 interval-fund repurchases. Price = current net offering price per share for th</w:t>
              <w:br/>
              <w:t>3.3: Twelve consecutive quarterly tenders completed FY2023-FY2025, all three classes, every quarter. Dollar totals repurchased: FY2023 $387.3M; FY2024 $639.0M; FY2025 $1,995.3M (Q1 $203.9M, Q2 $464.2M, Q3 $318.1M, Q4 $1,009.1</w:t>
              <w:br/>
              <w:t>3.4: Portfolio is fundamentally illiquid: $30.48B of $35.92B total investments are Level 3 and substantially all lack readily available market prices; 88.0% first-lien senior secured private loans across 370 companies. Liquid</w:t>
            </w:r>
          </w:p>
        </w:tc>
      </w:tr>
      <w:tr>
        <w:tc>
          <w:tcPr>
            <w:tcW w:type="dxa" w:w="2016"/>
          </w:tcPr>
          <w:p>
            <w:r>
              <w:t>4 — Valuation</w:t>
            </w:r>
          </w:p>
        </w:tc>
        <w:tc>
          <w:tcPr>
            <w:tcW w:type="dxa" w:w="7344"/>
          </w:tcPr>
          <w:p>
            <w:r>
              <w:t>4.1: Rule 2a-5 framework: Board designated the Adviser as valuation designee (from Q4 2022); quarterly multi-step valuation process (independent valuation firms provide preliminary valuations; Adviser valuation committee dete</w:t>
              <w:br/>
              <w:t xml:space="preserve">4.2: Fair value hierarchy at 12/31/2025 ($ thousands): Level 1 $0; Level 2 $4,468,669; Level 3 $30,479,543; subtotal $34,948,212; plus $970,736 measured at NAV practical expedient (OCIC SLF, Credit SLF, BOCSO, LSI Financing, </w:t>
              <w:br/>
              <w:t>4.3: Independent third-party valuation firm(s) are engaged at the direction of the Adviser and begin the process by providing preliminary valuations of each investment without readily available quotations; the filings also no</w:t>
              <w:br/>
              <w:t xml:space="preserve">4.4: By asset type: investments with readily available market quotations valued at the average bid of those quotations (with source/count validation; broker-quote-based prices screened for Level 2 vs 3 treatment); non-quoted </w:t>
            </w:r>
          </w:p>
        </w:tc>
      </w:tr>
      <w:tr>
        <w:tc>
          <w:tcPr>
            <w:tcW w:type="dxa" w:w="2016"/>
          </w:tcPr>
          <w:p>
            <w:r>
              <w:t>5 — Performance Benchmarks</w:t>
            </w:r>
          </w:p>
        </w:tc>
        <w:tc>
          <w:tcPr>
            <w:tcW w:type="dxa" w:w="7344"/>
          </w:tcPr>
          <w:p>
            <w:r>
              <w:t>5.1: No self-declared performance benchmark index appears in the FY2025 10-K or the 2025 N-2. Performance is presented solely as NAV-based total return net of all fees (Financial Highlights); the only 'benchmarks' named are f</w:t>
              <w:br/>
              <w:t>5.3: Candidates evaluated incl. paid/manual indices (CDLI 6/12 - below threshold, provider is a fund adviser in the cohort), with the peer cohort a real lane-C candidate (7/12 - reaches threshold, outranked by BKLN primary/se</w:t>
              <w:br/>
              <w:t>5.4: Peer cohort private_credit (n=5: cliffwater_cclfx, bcred, pflex, cion_ares, ocic) - equal-weight annual composite on printed FY/calendar returns, per-year membership disclosed in the artifact (2020 excluded: only partial</w:t>
              <w:br/>
              <w:t>5.5: PME inputs (computed): window 2021-01-01 to 2025-12-31; flows [-1 at start, 1.4983 at end]; index BKLN adj-close. KS-PME 1.152, Direct Alpha 2.87%/yr.</w:t>
            </w:r>
          </w:p>
        </w:tc>
      </w:tr>
      <w:tr>
        <w:tc>
          <w:tcPr>
            <w:tcW w:type="dxa" w:w="2016"/>
          </w:tcPr>
          <w:p>
            <w:r>
              <w:t>6 — Complexity</w:t>
            </w:r>
          </w:p>
        </w:tc>
        <w:tc>
          <w:tcPr>
            <w:tcW w:type="dxa" w:w="7344"/>
          </w:tcPr>
          <w:p>
            <w:r>
              <w:t>6.1: Maryland corporation (formed 4/22/2020); externally managed, perpetual-life, non-traded closed-end fund electing BDC status under the 1940 Act and RIC tax status. Adviser &amp; Administrator: Blue Owl Credit Advisors LLC, in</w:t>
              <w:br/>
              <w:t xml:space="preserve">6.2: Direct origination of loans to U.S. middle-market companies (EBITDA $25M-$500M and/or revenue $125M-$5B), sponsored and non-sponsored. Portfolio at 12/31/2025 (fair value): 88.0% first-lien senior secured (40.5% of that </w:t>
              <w:br/>
              <w:t>6.3: Dense affiliate web: (1) SEC co-investment exemptive relief — a NEW order granted May 6, 2025 superseding the prior order, permitting co-investment with Blue Owl-managed funds on same-terms/same-time conditions with requ</w:t>
              <w:br/>
              <w:t>6.4: Form 1099, not K-1. OCIC is a Maryland corporation taxed as a RIC (elected beginning with the taxable period ended 12/31/2020); the N-2 states U.S. shareholders receive Form 1099-DIV (and 1099-B if required; non-U.S. hol</w:t>
            </w:r>
          </w:p>
        </w:tc>
      </w:tr>
    </w:tbl>
    <w:p>
      <w:pPr>
        <w:pStyle w:val="Heading1"/>
      </w:pPr>
      <w:r>
        <w:t>Benchmark selection and justification</w:t>
      </w:r>
    </w:p>
    <w:p>
      <w:pPr>
        <w:pStyle w:val="Heading2"/>
      </w:pPr>
      <w:r>
        <w:t>Primary: Senior loan investable proxy (BKLN, for Morningstar LSTA class) — score 9/12</w:t>
      </w:r>
    </w:p>
    <w:p>
      <w:r>
        <w:t>Window 2021-01-01 to 2025-12-31: fund 10.64%/yr vs benchmark 6.74%/yr; KS-PME 1.152; Direct Alpha 2.87%/yr. Disclosure: PME and alpha computed on appraisal-lagged NAVs are window-sensitive and can be smoothing-flattered; conclusions should be read with the methodology's window-sensitivity analysis.</w:t>
      </w:r>
    </w:p>
    <w:p>
      <w:pPr>
        <w:pStyle w:val="ListBullet"/>
      </w:pPr>
      <w:r>
        <w:t>strategy_match 2/3: broadly syndicated loans vs direct lending - close cousin, not twin; fund itself declares NO benchmark (5.1) - engine constructs</w:t>
      </w:r>
    </w:p>
    <w:p>
      <w:pPr>
        <w:pStyle w:val="ListBullet"/>
      </w:pPr>
      <w:r>
        <w:t>risk_liquidity_match 1/3: daily-liquid proxy vs semi-liquid fund - vol/liquidity regimes differ</w:t>
      </w:r>
    </w:p>
    <w:p>
      <w:pPr>
        <w:pStyle w:val="ListBullet"/>
      </w:pPr>
      <w:r>
        <w:t>investability 2/2: investable, priced daily</w:t>
      </w:r>
    </w:p>
    <w:p>
      <w:pPr>
        <w:pStyle w:val="ListBullet"/>
      </w:pPr>
      <w:r>
        <w:t>data_quality 2/2: daily series</w:t>
      </w:r>
    </w:p>
    <w:p>
      <w:pPr>
        <w:pStyle w:val="ListBullet"/>
      </w:pPr>
      <w:r>
        <w:t>provider_independence 2/2: provider unaffiliated with the fund</w:t>
      </w:r>
    </w:p>
    <w:p>
      <w:pPr>
        <w:pStyle w:val="Heading2"/>
      </w:pPr>
      <w:r>
        <w:t>Secondary: PME / Direct Alpha vs BKLN — score 9/12</w:t>
      </w:r>
    </w:p>
    <w:p>
      <w:r>
        <w:t>Window 2021-01-01 to 2025-12-31: fund 10.64%/yr vs benchmark 6.74%/yr; KS-PME 1.152; Direct Alpha 2.87%/yr. Disclosure: PME and alpha computed on appraisal-lagged NAVs are window-sensitive and can be smoothing-flattered; conclusions should be read with the methodology's window-sensitivity analysis.</w:t>
      </w:r>
    </w:p>
    <w:p>
      <w:pPr>
        <w:pStyle w:val="ListBullet"/>
      </w:pPr>
      <w:r>
        <w:t>strategy_match 2/3: wealth-ratio PME vs investable loan proxy</w:t>
      </w:r>
    </w:p>
    <w:p>
      <w:pPr>
        <w:pStyle w:val="ListBullet"/>
      </w:pPr>
      <w:r>
        <w:t>risk_liquidity_match 1/3: daily-liquid proxy vs semi-liquid fund - vol/liquidity regimes differ</w:t>
      </w:r>
    </w:p>
    <w:p>
      <w:pPr>
        <w:pStyle w:val="ListBullet"/>
      </w:pPr>
      <w:r>
        <w:t>investability 2/2: investable, priced daily</w:t>
      </w:r>
    </w:p>
    <w:p>
      <w:pPr>
        <w:pStyle w:val="ListBullet"/>
      </w:pPr>
      <w:r>
        <w:t>data_quality 2/2: daily series</w:t>
      </w:r>
    </w:p>
    <w:p>
      <w:pPr>
        <w:pStyle w:val="ListBullet"/>
      </w:pPr>
      <w:r>
        <w:t>provider_independence 2/2: provider unaffiliated with the fund</w:t>
      </w:r>
    </w:p>
    <w:p>
      <w:pPr>
        <w:pStyle w:val="Heading2"/>
      </w:pPr>
      <w:r>
        <w:t>Rejection log (candidates considered and not selected)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456"/>
          </w:tcPr>
          <w:p>
            <w:r>
              <w:t>Candidate</w:t>
            </w:r>
          </w:p>
        </w:tc>
        <w:tc>
          <w:tcPr>
            <w:tcW w:type="dxa" w:w="1152"/>
          </w:tcPr>
          <w:p>
            <w:r>
              <w:t>Score</w:t>
            </w:r>
          </w:p>
        </w:tc>
        <w:tc>
          <w:tcPr>
            <w:tcW w:type="dxa" w:w="4752"/>
          </w:tcPr>
          <w:p>
            <w:r>
              <w:t>Reason</w:t>
            </w:r>
          </w:p>
        </w:tc>
      </w:tr>
      <w:tr>
        <w:tc>
          <w:tcPr>
            <w:tcW w:type="dxa" w:w="3456"/>
          </w:tcPr>
          <w:p>
            <w:r>
              <w:t>Peer cohort: private_credit (cclfx, bcred, pflex, cion_ares, ocic)</w:t>
            </w:r>
          </w:p>
        </w:tc>
        <w:tc>
          <w:tcPr>
            <w:tcW w:type="dxa" w:w="1152"/>
          </w:tcPr>
          <w:p>
            <w:r>
              <w:t>7/12</w:t>
            </w:r>
          </w:p>
        </w:tc>
        <w:tc>
          <w:tcPr>
            <w:tcW w:type="dxa" w:w="4752"/>
          </w:tcPr>
          <w:p>
            <w:r>
              <w:t>outranked: score 7/12 vs primary 9/12 and secondary 9/12 - only two slots; retained in log as viable alternate</w:t>
            </w:r>
          </w:p>
        </w:tc>
      </w:tr>
      <w:tr>
        <w:tc>
          <w:tcPr>
            <w:tcW w:type="dxa" w:w="3456"/>
          </w:tcPr>
          <w:p>
            <w:r>
              <w:t>Cliffwater Direct Lending Index (CDLI)</w:t>
            </w:r>
          </w:p>
        </w:tc>
        <w:tc>
          <w:tcPr>
            <w:tcW w:type="dxa" w:w="1152"/>
          </w:tcPr>
          <w:p>
            <w:r>
              <w:t>6/12</w:t>
            </w:r>
          </w:p>
        </w:tc>
        <w:tc>
          <w:tcPr>
            <w:tcW w:type="dxa" w:w="4752"/>
          </w:tcPr>
          <w:p>
            <w:r>
              <w:t>score 6/12 below primary threshold 7</w:t>
            </w:r>
          </w:p>
        </w:tc>
      </w:tr>
    </w:tbl>
    <w:p>
      <w:pPr>
        <w:pStyle w:val="Heading1"/>
      </w:pPr>
      <w:r>
        <w:t>Peer cohort placement</w:t>
      </w:r>
    </w:p>
    <w:p>
      <w:r>
        <w:t>Evidence depth tier: COHORT. Cohort: Private credit (interval fund + non-traded BDC) (n=5). Membership rationale: Perpetual non-traded BDC running quarterly 13e-4 tenders - bcred's closest structural twin, admitted via the census promotion pipeline (46 SC TO-I filings as T1 cadence evidence; Owl Rock -&gt; Blue Owl rename verified in the SEC record).</w:t>
      </w:r>
    </w:p>
    <w:p>
      <w:r>
        <w:t>Cohort placement (private_credit, R4 phrasing): mgmt fee: 30th percentile of cohort (n=5), at the median of 1.25 | expense ratio (bases differ - see notes): 90th percentile of cohort (n=5), above the median of 3.76 | repurchase cap: 10th percentile of cohort (n=5), at the median of 5. Stats and per-member values in data/cohorts/private_credit.json; membership rationales in data/facts.</w:t>
      </w:r>
    </w:p>
    <w:p>
      <w:pPr>
        <w:pStyle w:val="ListBullet"/>
      </w:pPr>
      <w:r>
        <w:t>Caveat: LEVERAGE-REGIME MIX: BDC 150% coverage and non-1940-Act wrappers allow materially more leverage than 1940-Act funds - fee bases and return volatility are not like-for-like. [bcred: BDC 150% asset-coverage regime - materially MORE leverage headroom than 1940-Act funds; cion_ares: 1940-Act asset-coverage limits; cliffwater_cclfx: 1940-Act asset-coverage limits; ocic: BDC 150% asset-coverage regime - materially MORE leverage headroom than 1940-Act funds; pflex: 1940-Act asset-coverage limits]</w:t>
      </w:r>
    </w:p>
    <w:p>
      <w:pPr>
        <w:pStyle w:val="ListBullet"/>
      </w:pPr>
      <w:r>
        <w:t>Caveat: LIQUIDITY-LAW MIX: Rule 23c-3 obligations, discretionary tenders, and repurchase plans give different worst-case exit rights; cadence numbers alone overstate comparability. [bcred: board-discretionary share repurchases; cion_ares: Rule 23c-3 OBLIGATION (board cannot skip a window); cliffwater_cclfx: Rule 23c-3 OBLIGATION (board cannot skip a window); ocic: board-discretionary share repurchases; pflex: Rule 23c-3 OBLIGATION (board cannot skip a window)]</w:t>
      </w:r>
    </w:p>
    <w:p>
      <w:pPr>
        <w:pStyle w:val="ListBullet"/>
      </w:pPr>
      <w:r>
        <w:t>Caveat: NAV-CADENCE MIX: daily, monthly, and quarterly NAV processes embed different appraisal smoothing; volatility and drawdown comparisons inherit that difference (see de-smoothing lab). [bcred: quarterly NAV determinations; cion_ares: daily NAV; cliffwater_cclfx: daily NAV; ocic: quarterly NAV determinations; pflex: daily NAV]</w:t>
      </w:r>
    </w:p>
    <w:p>
      <w:r>
        <w:t>Cohort exclusion log: every candidate considered and not admitted is recorded with its reason in data/roster_decisions.md (rendered on the site's Cohorts view). Membership is an argued judgment, not a tag.</w:t>
      </w:r>
    </w:p>
    <w:p>
      <w:pPr>
        <w:pStyle w:val="Heading1"/>
      </w:pPr>
      <w:r>
        <w:t>Provenance</w:t>
      </w:r>
    </w:p>
    <w:p>
      <w:r>
        <w:t>Every populated cell carries its source document, section, quote, extractor and verifier in data/evidence/. Current cell status for this product: computed: 7, extracted: 26, fetched: 1, n/a: 12, partial: 8. Cells marked extracted-unverified or computed await independent verification; verified cells have been independently re-checked. Cells marked structured come directly from machine-readable regulatory data (N-CEN structured datasets, XBRL company facts) with the source dataset cited; no model judgment is involved.</w:t>
      </w:r>
    </w:p>
    <w:p>
      <w:r>
        <w:t>Data sources include SEC EDGAR filings (see data/manifest.csv) and DOL EBSA Form 5500 bulk data. Sponsor name NEVER appears on demo surfaces. Data is public (DOL Form 5500 FOIA files); anonymization is a project display rule, not a legal requirement.</w:t>
      </w:r>
    </w:p>
    <w:p>
      <w:pPr>
        <w:jc w:val="left"/>
      </w:pPr>
      <w:r>
        <w:br/>
        <w:t>Prepared by: ______________________    Reviewed by: ______________________    Date: 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