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Starwood Real Estate Income Trust, Inc. (non-traded REIT ('34 Act reporting), CIK 1711929)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Printed monthly NAV-per-share series for all four classes (S/T/D/I), Jan 2025 - Dec 2025 (12 points) in FY2025 10-K Item 5; Class I path: 21.64 (Jan) -&gt; 21.48 -&gt; 21.14 -&gt; 20.97 -&gt; 20.92 -&gt; 20.92 -&gt; 20.82 -&gt; 20.59 -&gt; 20.4</w:t>
              <w:br/>
              <w:t>1.2: FY2025 10-K '2025 Highlights' table, classes in order T | S | D | I: Annualized Year-to-Date Total Return, without upfront selling commissions and dealer manager fees: (3.3%) | (3.2%) | (2.7%) | (2.4%); Annualized Incept</w:t>
              <w:br/>
              <w:t>1.3: PARTIAL: no gross-of-fees return series and no gross/net expense ratios exist - '34-Act non-traded REIT with no financial-highlights table; mechanical search of the stripped FY2025 10-K and Q2-2026 10-Q for 'expense rati</w:t>
              <w:br/>
              <w:t>1.4: FY2025: declared monthly net distributions totaling $484.8 million ($484,759K); per-share declared totals T $1.0632 | S $1.0627 | D $1.1903 | I $1.2420 (Class I $0.1035 every month of 2025). Composition FY2025: 72% payab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BASE: annual management fee of (i) 1.25% of NAV per annum, payable monthly (computed before accruals for the management fee, stockholder servicing fee, performance participation or distributions), plus (ii) 1.25</w:t>
              <w:br/>
              <w:t xml:space="preserve">2.2: Performance participation interest held by Starwood REIT Special Limited Partner, L.L.C. (wholly owned subsidiary of Starwood Capital Group Holdings): 12.5% of the Operating Partnership's annual total return (defined as </w:t>
              <w:br/>
              <w:t>2.4: Not applicable - none exists: SREIT is a '34-Act 10-K filer (not a 1940-Act registered fund), so no 'Acquired Fund Fees and Expenses' line exists or can exist. Mechanical search of the stripped FY2025 10-K and Q2-2026 10</w:t>
              <w:br/>
              <w:t>2.5: PARTIAL: SREIT owns real estate directly - no fund-of-funds layer, so no underlying GP fee/carry table exists. Printed second-layer affiliate economics: DST Manager (managed by senior members of Starwood Capital) receive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Monthly share repurchase plan with a three-step cap SHRINK and then closure: (a) from inception (plan first announced December 2017): 2% of aggregate NAV per month + 5% per calendar quarter (measured on prior month/quart</w:t>
              <w:br/>
              <w:t>3.2: Mechanics as printed: stockholders may request repurchase of all or any portion of shares monthly; company may repurchase all, some or none in its discretion. Price = transaction price on the applicable repurchase date (</w:t>
              <w:br/>
              <w:t>3.3: THE GATING STORY, quantified from the filings: repurchase requests have consistently exceeded plan limits since October 2022 (issuer's own words, repeated in 10-K, 10-Q and 424B3). Cash-flow statement 'Repurchases of com</w:t>
              <w:br/>
              <w:t>3.4: December 31, 2025 available liquidity $527.8M: cash and cash equivalents $200,806K + available borrowings on undrawn unsecured line of credit $177,000K + undrawn senior secured revolving credit facility $150,000K - again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 xml:space="preserve">4.1: NAV FREQUENCY: monthly, per class, calculated by the fund administrator (The Bank of New York); NAV per share generally available within 15 calendar days after month-end; transaction price generally equals prior month's </w:t>
              <w:br/>
              <w:t>4.2: Recurring fair-value table, December 31, 2025 ($000s): ASSETS - investment in real estate debt L1 $0 / L2 $0 / L3 $915,431; derivatives L2 $83,223; total L1 $0 / L2 $83,223 / L3 $915,431 / $998,654. LIABILITIES - derivat</w:t>
              <w:br/>
              <w:t>4.3: NAMED: independent valuation advisor is Altus Group U.S. Inc. - performs quarterly update appraisals of consolidated real property, reviews the Advisor's monthly valuation updates for reasonableness, considers annual thi</w:t>
              <w:br/>
              <w:t xml:space="preserve">4.4: DCF primary methodology for real property; weighted-average key assumptions by property type at 12/31/2025 (Discount Rate / Exit Capitalization Rate): Multifamily 6.9% / 5.5%; Industrial 7.3% / 5.8%; Office 8.0% / 6.8%;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ABSENCE DOCUMENTED (searched 2026-08-15): SREIT declares NO benchmark index anywhere in the FY2025 10-K - zero hits for MSCI, ODCE and NCREIF; 'NAREIT' appears only as the standard-setter defining FFO ('FFO is a standard</w:t>
              <w:br/>
              <w:t>5.3: Candidates evaluated incl. paid/manual indices and the real peer-cohort lane; full scoring + rejection ledger in the selection artifact.</w:t>
              <w:br/>
              <w:t>5.4: Peer cohort nontraded_reit (n=3): members, rationales, stats, composite (or its documented refusal) and caveat block in the cohort artifact; exclusions in data/roster_decisions.md.</w:t>
              <w:br/>
              <w:t>5.5: PME inputs (computed): window 2024-12-31 to 2025-12-31; flows [-1, 0.976]; index daily-anchored. KS-PME 0.9453, Direct Alpha -5.47%/yr.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Starwood Real Estate Income Trust, Inc.: Maryland corporation formed June 22, 2017; non-listed perpetual NAV REIT (REIT election commencing taxable year ended December 31, 2019). UPREIT: sole general partner of Starwood </w:t>
              <w:br/>
              <w:t>6.2: Strategy: invests primarily in stabilized, income-oriented commercial real estate and debt secured by commercial real estate. Five reportable segments (recast effective 1/1/2025; Single-Family Rental and Self-Storage mer</w:t>
              <w:br/>
              <w:t xml:space="preserve">6.3: Related-party web as printed: Due to affiliates $235,809K at 12/31/2025 ($275,601K at 12/31/2024). Management fee (1.25% of NAV, waived to 1% since May 2024) always paid in shares - 3,870,226 unregistered Class I shares </w:t>
              <w:br/>
              <w:t>6.4: PARTIAL: investor tax form NOT literally printed in the on-disk documents - zero hits for '1099' in the stripped FY2025 10-K, Q2-2026 10-Q and 424B3 Supplement No. 7 (searched 2026-08-15). What IS printed: corporate REIT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— score 9/12</w:t>
      </w:r>
    </w:p>
    <w:p>
      <w:r>
        <w:t>Window 2024-12-31 to 2025-12-31: fund -2.4%/yr vs benchmark 3.25%/yr; KS-PME 0.9453; Direct Alpha -5.47%/yr.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equity REITs - same asset class, but exchange pricing vs monthly appraisal NAV is a regime difference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NCREIF Fund Index - ODCE (private core RE) — score 8/12</w:t>
      </w:r>
    </w:p>
    <w:p>
      <w:pPr>
        <w:pStyle w:val="ListBullet"/>
      </w:pPr>
      <w:r>
        <w:t>strategy_match 3/3: private open-end core RE funds - the strategy-exact yardstick; index data is member/subscription distribution, series not held</w:t>
      </w:r>
    </w:p>
    <w:p>
      <w:pPr>
        <w:pStyle w:val="ListBullet"/>
      </w:pPr>
      <w:r>
        <w:t>risk_liquidity_match 2/3: appraisal-cadence series, closer to the fund's NAV process</w:t>
      </w:r>
    </w:p>
    <w:p>
      <w:pPr>
        <w:pStyle w:val="ListBullet"/>
      </w:pPr>
      <w:r>
        <w:t>investability 0/2: not investable / not held</w:t>
      </w:r>
    </w:p>
    <w:p>
      <w:pPr>
        <w:pStyle w:val="ListBullet"/>
      </w:pPr>
      <w:r>
        <w:t>data_quality 1/2: quarterly-manual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VNQ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nontraded_reit (breit, sreit, jll_ipt)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Non-traded monthly-NAV REIT - breit's closest structural twin (class structure, repurchase plan, 2022-24 stress history).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fact unavailable for this member. Stats + caveats in the cohort artifact.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24, fetched: 1, n/a: 16, partial: 5.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