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hl_paf, kkr_kpec (annual granularity; see their 1.2 cells). Universe = this roster; a market-wide peer database is licensed data not held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12.92%/yr vs benchmark 0.83%/yr; KS-PME 1.762; Direct Alpha 12.0%/yr.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12.92%/yr vs benchmark 10.48%/yr; KS-PME 1.1155; Direct Alpha 2.21%/yr.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multi-strategy (secondaries-led) tender-offer fund - founding cohort member.</w:t>
      </w:r>
    </w:p>
    <w:p>
      <w:r>
        <w:t>Cohort placement (evergreen_pe, R4 phrasing): mgmt fee: 50th percentile of cohort (n=5), at the median of 1.4 | expense ratio (bases differ - see notes): 10th percentile of cohort (n=5), below the median of 3.19 | repurchase cap: 12th percentile of cohort (n=4), at the median of 5. Stats + caveats in the cohort artifact; the prior universe-of-6 percentile is superseded by cohort placement.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