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AMG Pantheon Fund, LLC (tender-offer fund ('40 Act), evergreen PE, CIK 1609211)</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Benchmark: Peer cohort composite: evergreen_pe without amg_pantheon (ares_pmf, hl_paf, kkr_kpec, stepstone_spm) at 10/12, KS-PME 0.8357, Direct Alpha -3.53%/yr over FY2022 to FY2026.</w:t>
      </w:r>
    </w:p>
    <w:p>
      <w:r>
        <w:t>Flags raised by the record (each restates a typed value or verdict, with its source):</w:t>
      </w:r>
    </w:p>
    <w:p>
      <w:pPr>
        <w:pStyle w:val="ListBullet"/>
      </w:pPr>
      <w:r>
        <w:t>Liquidity: ILLUSTRATIVE scenario verdict conditional-weak under this plan (base or stressed demand above wrapper capacity)</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amg_pantheon (ares_pmf, hl_paf, kkr_kpec, stepstone_spm)</w:t>
            </w:r>
          </w:p>
        </w:tc>
        <w:tc>
          <w:tcPr>
            <w:tcW w:type="dxa" w:w="864"/>
          </w:tcPr>
          <w:p>
            <w:r>
              <w:t>10/12</w:t>
            </w:r>
          </w:p>
        </w:tc>
        <w:tc>
          <w:tcPr>
            <w:tcW w:type="dxa" w:w="3888"/>
          </w:tcPr>
          <w:p>
            <w:r>
              <w:t>KS-PME 0.8357, Direct Alpha -3.53%/yr, FY2022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1.5919, Direct Alpha 6.87%/yr, 2019-03-31 to 2026-03-31</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3.3</w:t>
            </w:r>
          </w:p>
        </w:tc>
      </w:tr>
      <w:tr>
        <w:tc>
          <w:tcPr>
            <w:tcW w:type="dxa" w:w="2448"/>
          </w:tcPr>
          <w:p>
            <w:r>
              <w:t>Repurchase cap</w:t>
            </w:r>
          </w:p>
        </w:tc>
        <w:tc>
          <w:tcPr>
            <w:tcW w:type="dxa" w:w="5760"/>
          </w:tcPr>
          <w:p>
            <w:r>
              <w:t>5% of outstanding shares</w:t>
            </w:r>
          </w:p>
        </w:tc>
        <w:tc>
          <w:tcPr>
            <w:tcW w:type="dxa" w:w="1152"/>
          </w:tcPr>
          <w:p>
            <w:r>
              <w:t>3.3</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0.70% on net assets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2.38% net expense ratio</w:t>
            </w:r>
          </w:p>
        </w:tc>
        <w:tc>
          <w:tcPr>
            <w:tcW w:type="dxa" w:w="2880"/>
          </w:tcPr>
          <w:p>
            <w:r>
              <w:t>extracted-unverified</w:t>
            </w:r>
          </w:p>
        </w:tc>
      </w:tr>
      <w:tr>
        <w:tc>
          <w:tcPr>
            <w:tcW w:type="dxa" w:w="2880"/>
          </w:tcPr>
          <w:p>
            <w:r>
              <w:t>2.4 AFFE</w:t>
            </w:r>
          </w:p>
        </w:tc>
        <w:tc>
          <w:tcPr>
            <w:tcW w:type="dxa" w:w="3600"/>
          </w:tcPr>
          <w:p>
            <w:r>
              <w:t>AFFE 0.81%</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(Pantheon) tender-offer LLC - wrapper and strategy twin of hl_paf/stepstone_spm.</w:t>
      </w:r>
    </w:p>
    <w:p>
      <w:r>
        <w:t>Cohort placement (evergreen_pe, R4 phrasing): mgmt fee: 10th percentile of cohort (n=5), below the median of 1.4 | expense ratio (bases differ, see notes): 30th percentile of cohort (n=5), below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27, verified 0, computed 9, partial 3,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